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15" w:rsidRDefault="00A83C15" w:rsidP="00A83C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2A25">
        <w:rPr>
          <w:rFonts w:ascii="Times New Roman" w:hAnsi="Times New Roman" w:cs="Times New Roman"/>
          <w:sz w:val="24"/>
          <w:szCs w:val="24"/>
        </w:rPr>
        <w:t>ГРАФИК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C4">
        <w:rPr>
          <w:rFonts w:ascii="Times New Roman" w:hAnsi="Times New Roman" w:cs="Times New Roman"/>
          <w:sz w:val="24"/>
          <w:szCs w:val="24"/>
        </w:rPr>
        <w:t xml:space="preserve">СОВЕРШЕНИЯ ОПЕРАЦИЙ </w:t>
      </w:r>
    </w:p>
    <w:p w:rsidR="00A83C15" w:rsidRDefault="00A83C15" w:rsidP="00A83C1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721C4">
        <w:rPr>
          <w:rFonts w:ascii="Times New Roman" w:hAnsi="Times New Roman" w:cs="Times New Roman"/>
          <w:sz w:val="24"/>
          <w:szCs w:val="24"/>
        </w:rPr>
        <w:t>В КОНЦЕ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21C4">
        <w:rPr>
          <w:rFonts w:ascii="Times New Roman" w:hAnsi="Times New Roman" w:cs="Times New Roman"/>
          <w:sz w:val="24"/>
          <w:szCs w:val="24"/>
        </w:rPr>
        <w:t xml:space="preserve"> ГОДА – НАЧАЛЕ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1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3C15" w:rsidRPr="007721C4" w:rsidRDefault="00A83C15" w:rsidP="00A83C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6945"/>
        <w:gridCol w:w="1985"/>
      </w:tblGrid>
      <w:tr w:rsidR="00A83C15" w:rsidRPr="00CB096C" w:rsidTr="001E649A">
        <w:trPr>
          <w:trHeight w:val="293"/>
        </w:trPr>
        <w:tc>
          <w:tcPr>
            <w:tcW w:w="1277" w:type="dxa"/>
            <w:vAlign w:val="center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6945" w:type="dxa"/>
            <w:vAlign w:val="center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Исполнители</w:t>
            </w:r>
          </w:p>
        </w:tc>
      </w:tr>
      <w:tr w:rsidR="00A83C15" w:rsidRPr="00CB096C" w:rsidTr="001E649A">
        <w:trPr>
          <w:trHeight w:val="78"/>
        </w:trPr>
        <w:tc>
          <w:tcPr>
            <w:tcW w:w="1277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01.12.2025</w:t>
            </w:r>
          </w:p>
        </w:tc>
        <w:tc>
          <w:tcPr>
            <w:tcW w:w="8930" w:type="dxa"/>
            <w:gridSpan w:val="2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P64"/>
            <w:bookmarkEnd w:id="0"/>
          </w:p>
        </w:tc>
        <w:tc>
          <w:tcPr>
            <w:tcW w:w="6945" w:type="dxa"/>
          </w:tcPr>
          <w:p w:rsidR="00A83C15" w:rsidRPr="00CB096C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принятия получателем средств местного бюджета бюджетных обязательств на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2025 год на </w:t>
            </w:r>
            <w:r w:rsidRPr="00CB096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</w:t>
            </w:r>
            <w:r w:rsidRPr="002535DB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превышающие один месяц</w:t>
            </w:r>
            <w:r w:rsidRPr="00CB096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после указанной даты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ПБС</w:t>
            </w:r>
          </w:p>
        </w:tc>
      </w:tr>
      <w:tr w:rsidR="00A83C15" w:rsidRPr="00CB096C" w:rsidTr="001E649A">
        <w:tc>
          <w:tcPr>
            <w:tcW w:w="1277" w:type="dxa"/>
            <w:vMerge w:val="restart"/>
          </w:tcPr>
          <w:p w:rsidR="00A83C15" w:rsidRPr="00C42A64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P80"/>
            <w:bookmarkStart w:id="2" w:name="P84"/>
            <w:bookmarkEnd w:id="1"/>
            <w:bookmarkEnd w:id="2"/>
            <w:r w:rsidRPr="00C42A6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C42A64">
              <w:rPr>
                <w:rFonts w:ascii="Times New Roman" w:hAnsi="Times New Roman" w:cs="Times New Roman"/>
                <w:b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</w:tcPr>
          <w:p w:rsidR="00A83C15" w:rsidRPr="00C42A64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c>
          <w:tcPr>
            <w:tcW w:w="1277" w:type="dxa"/>
            <w:vMerge/>
          </w:tcPr>
          <w:p w:rsidR="00A83C15" w:rsidRPr="00C42A64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42A64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sz w:val="22"/>
                <w:szCs w:val="22"/>
              </w:rPr>
              <w:t>Завершение перераспределения ассигнований между  разделами, подразделами, целевыми статьями и видами расходов на основании писем ГРБС с последующим уточнением бюджета решением Совета депутатов в декабре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42A64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</w:tc>
      </w:tr>
      <w:tr w:rsidR="00A83C15" w:rsidRPr="00CB096C" w:rsidTr="001E649A">
        <w:tc>
          <w:tcPr>
            <w:tcW w:w="1277" w:type="dxa"/>
            <w:vMerge w:val="restart"/>
          </w:tcPr>
          <w:p w:rsidR="00A83C15" w:rsidRPr="00C42A64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C42A64">
              <w:rPr>
                <w:rFonts w:ascii="Times New Roman" w:hAnsi="Times New Roman" w:cs="Times New Roman"/>
                <w:b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</w:tcPr>
          <w:p w:rsidR="00A83C15" w:rsidRPr="00C42A64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rPr>
          <w:trHeight w:val="1715"/>
        </w:trPr>
        <w:tc>
          <w:tcPr>
            <w:tcW w:w="1277" w:type="dxa"/>
            <w:vMerge/>
          </w:tcPr>
          <w:p w:rsidR="00A83C15" w:rsidRPr="00C42A64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42A64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sz w:val="22"/>
                <w:szCs w:val="22"/>
              </w:rPr>
              <w:t>Внесения изменений в сводную бюджетную роспись местного бюджета на текущий финансовый год за исключением случаев, связанных с распределением средств резервного фонда администрации и утверждения решения о бюджете, о внесении изменений в решение Совета депутатов о бюджете Сосновоборского городского округа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</w:tc>
      </w:tr>
      <w:tr w:rsidR="00A83C15" w:rsidRPr="00CB096C" w:rsidTr="001E649A">
        <w:trPr>
          <w:trHeight w:val="751"/>
        </w:trPr>
        <w:tc>
          <w:tcPr>
            <w:tcW w:w="1277" w:type="dxa"/>
            <w:vMerge/>
          </w:tcPr>
          <w:p w:rsidR="00A83C15" w:rsidRPr="00C42A64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42A64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sz w:val="22"/>
                <w:szCs w:val="22"/>
              </w:rPr>
              <w:t>Внесения изменений в бюджетную роспись в части перераспределения бюджетных средств между кодами операций сектора государственного управления в пределах одного раздела, подраздела, целевой статьи и вида расходов, не приводящие к изменению сводной бюджетной росписи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</w:tc>
      </w:tr>
      <w:tr w:rsidR="00A83C15" w:rsidRPr="00CB096C" w:rsidTr="001E649A">
        <w:tc>
          <w:tcPr>
            <w:tcW w:w="1277" w:type="dxa"/>
            <w:vMerge w:val="restart"/>
          </w:tcPr>
          <w:p w:rsidR="00A83C15" w:rsidRPr="00C42A64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C42A64">
              <w:rPr>
                <w:rFonts w:ascii="Times New Roman" w:hAnsi="Times New Roman" w:cs="Times New Roman"/>
                <w:b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</w:tcPr>
          <w:p w:rsidR="00A83C15" w:rsidRPr="00C42A64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c>
          <w:tcPr>
            <w:tcW w:w="1277" w:type="dxa"/>
            <w:vMerge/>
          </w:tcPr>
          <w:p w:rsidR="00A83C15" w:rsidRPr="00C42A64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42A64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sz w:val="22"/>
                <w:szCs w:val="22"/>
              </w:rPr>
              <w:t>Осуществление сверки расчетов с соответствующим ГРБС областного бюджета</w:t>
            </w:r>
          </w:p>
        </w:tc>
        <w:tc>
          <w:tcPr>
            <w:tcW w:w="1985" w:type="dxa"/>
          </w:tcPr>
          <w:p w:rsidR="00A83C15" w:rsidRPr="00C42A64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sz w:val="22"/>
                <w:szCs w:val="22"/>
              </w:rPr>
              <w:t>ГАД</w:t>
            </w:r>
          </w:p>
        </w:tc>
      </w:tr>
      <w:tr w:rsidR="00A83C15" w:rsidRPr="00CB096C" w:rsidTr="001E649A">
        <w:tc>
          <w:tcPr>
            <w:tcW w:w="1277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rPr>
          <w:trHeight w:val="1589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Представления ЭД «Бюджетное обязательство» по обязательствам, подлежащим исполнению в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 xml:space="preserve"> году, источником финансового обеспечения которых являются целевые средства федерального бюджета и целевые средства областного бюджета, направляемые для проверки и контроля ГРБС Ленинградской области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ГРБС, ПБС</w:t>
            </w:r>
          </w:p>
        </w:tc>
      </w:tr>
      <w:tr w:rsidR="00A83C15" w:rsidRPr="00CB096C" w:rsidTr="001E649A">
        <w:trPr>
          <w:trHeight w:val="1202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Представления в комитет финансов ЭД «Заявка на оплату расходов» источником финансового обеспечения которых являются целевые средства областного бюджета, направляемые для проверки и контроля ГРБС Ленинградской области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ГРБС, ПБС</w:t>
            </w:r>
          </w:p>
        </w:tc>
      </w:tr>
      <w:tr w:rsidR="00A83C15" w:rsidRPr="00CB096C" w:rsidTr="001E649A">
        <w:trPr>
          <w:trHeight w:val="576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2A64">
              <w:rPr>
                <w:rFonts w:ascii="Times New Roman" w:hAnsi="Times New Roman" w:cs="Times New Roman"/>
                <w:sz w:val="22"/>
                <w:szCs w:val="22"/>
              </w:rPr>
              <w:t xml:space="preserve">Актуализация и приведение в соответствие с действующим законодательством нормативных правовых актов о закреплении </w:t>
            </w:r>
            <w:r w:rsidRPr="00C42A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полномочий по администрированию доходов местного бюджета и Реестров администрируемых доходов (ф. 0531975)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ГАД</w:t>
            </w:r>
          </w:p>
        </w:tc>
      </w:tr>
      <w:tr w:rsidR="00A83C15" w:rsidRPr="00CB096C" w:rsidTr="001E649A">
        <w:tc>
          <w:tcPr>
            <w:tcW w:w="1277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rPr>
          <w:trHeight w:val="1054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Направления комитетом финансов для проверки и контроля ГРБС Ленинградской области ЭД «Заявка на оплату расходов» источником финансового обеспечения которых являются целевые средства областного бюджета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</w:tc>
      </w:tr>
      <w:tr w:rsidR="00A83C15" w:rsidRPr="00CB096C" w:rsidTr="001E649A">
        <w:trPr>
          <w:trHeight w:val="1058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Направление в комитет финансов ЭД «Заявка на оплату расходов» источником финансового обеспечения которых являются целевые средства федерального бюджета, имеющие предельные объемы финансирования на специально открытых лицевых счетах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ГРБС, ПБС</w:t>
            </w:r>
          </w:p>
        </w:tc>
      </w:tr>
      <w:tr w:rsidR="00A83C15" w:rsidRPr="00CB096C" w:rsidTr="001E649A">
        <w:trPr>
          <w:trHeight w:val="313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Представление в комитет финансов сведений о суммах целевых средств, предполагаемых к возврату до 01.01.2025 в областной бюджет Ленинградской области. Возврат осуществить в соответствии положениями приказа Комитета финансов Ленинградской области от 11.12.2009 № 01-09-196/09 «О порядке возврата и взыскания неиспользованных бюджетных средств»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3C15" w:rsidRPr="00CB096C" w:rsidTr="001E649A">
        <w:tc>
          <w:tcPr>
            <w:tcW w:w="1277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rPr>
          <w:trHeight w:val="212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представления ЭД «Бюджетное обязательство» по бюджетным обязательствам, подлежащим исполнению в 202</w:t>
            </w:r>
            <w:r>
              <w:rPr>
                <w:sz w:val="22"/>
                <w:szCs w:val="22"/>
              </w:rPr>
              <w:t>5</w:t>
            </w:r>
            <w:r w:rsidRPr="00CB096C">
              <w:rPr>
                <w:sz w:val="22"/>
                <w:szCs w:val="22"/>
              </w:rPr>
              <w:t xml:space="preserve"> г. (кроме бюджетных обязательств, источником финансового обеспечения которых являются целевые средства федерального бюджета и целевые средства областного бюджета, направляемые для проверки и контроля ГРБС Ленинградской области)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 xml:space="preserve">ГРБС, ПБС </w:t>
            </w:r>
          </w:p>
        </w:tc>
      </w:tr>
      <w:tr w:rsidR="00A83C15" w:rsidRPr="00CB096C" w:rsidTr="001E649A">
        <w:trPr>
          <w:trHeight w:val="230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представления ЭД «Сведения об обязательствах и договоре БУ/АУ» по контрактам, подлежащим оплате в 202</w:t>
            </w:r>
            <w:r>
              <w:rPr>
                <w:sz w:val="22"/>
                <w:szCs w:val="22"/>
              </w:rPr>
              <w:t>5</w:t>
            </w:r>
            <w:r w:rsidRPr="00CB096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БУ/АУ</w:t>
            </w:r>
          </w:p>
        </w:tc>
      </w:tr>
      <w:tr w:rsidR="00A83C15" w:rsidRPr="00CB096C" w:rsidTr="001E649A">
        <w:trPr>
          <w:trHeight w:val="1163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Направление комитетом финансов ЭД «Заявка на оплату расходов» в УФК по Ленинградской области источником финансового обеспечения которых являются целевые средства федерального бюджета, имеющие предельные объемы финансирования на специально открытом лицевом счете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</w:tc>
      </w:tr>
      <w:tr w:rsidR="00A83C15" w:rsidRPr="00CB096C" w:rsidTr="001E649A">
        <w:trPr>
          <w:trHeight w:val="563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Проверка полноты  поступивших  от ГРБС Ленинградской области межбюджетных трансфертов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ГАД</w:t>
            </w:r>
          </w:p>
        </w:tc>
      </w:tr>
      <w:tr w:rsidR="00A83C15" w:rsidRPr="00CB096C" w:rsidTr="001E649A">
        <w:tc>
          <w:tcPr>
            <w:tcW w:w="1277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25.12.202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rPr>
          <w:trHeight w:val="375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представления ЭД для осуществления операций по выплатам за счет наличных денег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ПБС, БУ/АУ</w:t>
            </w:r>
          </w:p>
        </w:tc>
      </w:tr>
      <w:tr w:rsidR="00A83C15" w:rsidRPr="00CB096C" w:rsidTr="001E649A">
        <w:trPr>
          <w:trHeight w:val="438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осуществления операций по уточнению учетных записей в части изменения кодов бюджетной классификации Российской Федерации по произведенным перечислениям по расходам местного бюджета (ЭД «Справка по расходам»)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ГРБС, ПБС</w:t>
            </w:r>
          </w:p>
        </w:tc>
      </w:tr>
      <w:tr w:rsidR="00A83C15" w:rsidRPr="00CB096C" w:rsidTr="001E649A">
        <w:tc>
          <w:tcPr>
            <w:tcW w:w="1277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rPr>
          <w:trHeight w:val="313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Представления ЭД «Заявка на оплату расходов» для осуществления операций по иным выплатам (за исключением выплат,  в целях финансового обеспечения которых предоставляются целевые средства федерального и областного бюджетов, выплат за счет наличных денег)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 xml:space="preserve">ГРБС, ПБС </w:t>
            </w:r>
          </w:p>
        </w:tc>
      </w:tr>
      <w:tr w:rsidR="00A83C15" w:rsidRPr="00CB096C" w:rsidTr="001E649A">
        <w:trPr>
          <w:trHeight w:val="560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Представления ЭД "Заявка БУ/АУ на выплату средств" для проведения расходов и санкционирования целевых субсидий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БУ/АУ</w:t>
            </w:r>
          </w:p>
        </w:tc>
      </w:tr>
      <w:tr w:rsidR="00A83C15" w:rsidRPr="00CB096C" w:rsidTr="001E649A">
        <w:tc>
          <w:tcPr>
            <w:tcW w:w="1277" w:type="dxa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rPr>
          <w:trHeight w:val="250"/>
        </w:trPr>
        <w:tc>
          <w:tcPr>
            <w:tcW w:w="1277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Проведение инвентаризации и уточнение всех невыясненных поступлений, зачисленных в местный бюджет, при этом в период с 12 по 2</w:t>
            </w:r>
            <w:r>
              <w:rPr>
                <w:sz w:val="22"/>
                <w:szCs w:val="22"/>
              </w:rPr>
              <w:t>9</w:t>
            </w:r>
            <w:r w:rsidRPr="00CB096C">
              <w:rPr>
                <w:sz w:val="22"/>
                <w:szCs w:val="22"/>
              </w:rPr>
              <w:t xml:space="preserve"> декабря 202</w:t>
            </w:r>
            <w:r>
              <w:rPr>
                <w:sz w:val="22"/>
                <w:szCs w:val="22"/>
              </w:rPr>
              <w:t>5</w:t>
            </w:r>
            <w:r w:rsidRPr="00CB096C">
              <w:rPr>
                <w:sz w:val="22"/>
                <w:szCs w:val="22"/>
              </w:rPr>
              <w:t xml:space="preserve"> года уточнение сумм осуществляется в течение текущего дня получения информации о зачислении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ГАД</w:t>
            </w:r>
          </w:p>
        </w:tc>
      </w:tr>
      <w:tr w:rsidR="00A83C15" w:rsidRPr="00CB096C" w:rsidTr="001E649A">
        <w:trPr>
          <w:trHeight w:val="250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 xml:space="preserve">Проверка и информирование комитета финансов о суммах, ошибочно отраженных и/или не отраженных на лицевом счете клиента в период с </w:t>
            </w:r>
            <w:r>
              <w:rPr>
                <w:sz w:val="22"/>
                <w:szCs w:val="22"/>
              </w:rPr>
              <w:t>25</w:t>
            </w:r>
            <w:r w:rsidRPr="00CB096C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29</w:t>
            </w:r>
            <w:r w:rsidRPr="00CB096C">
              <w:rPr>
                <w:sz w:val="22"/>
                <w:szCs w:val="22"/>
              </w:rPr>
              <w:t xml:space="preserve"> декабря 202</w:t>
            </w:r>
            <w:r>
              <w:rPr>
                <w:sz w:val="22"/>
                <w:szCs w:val="22"/>
              </w:rPr>
              <w:t>5</w:t>
            </w:r>
            <w:r w:rsidRPr="00CB096C">
              <w:rPr>
                <w:sz w:val="22"/>
                <w:szCs w:val="22"/>
              </w:rPr>
              <w:t xml:space="preserve"> года, осуществляется в день получения Выписки из лицевого счета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ПБС, БУ/АУ</w:t>
            </w:r>
          </w:p>
        </w:tc>
      </w:tr>
      <w:tr w:rsidR="00A83C15" w:rsidRPr="00CB096C" w:rsidTr="001E649A">
        <w:trPr>
          <w:trHeight w:val="250"/>
        </w:trPr>
        <w:tc>
          <w:tcPr>
            <w:tcW w:w="1277" w:type="dxa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i/>
                <w:sz w:val="22"/>
                <w:szCs w:val="22"/>
              </w:rPr>
              <w:t>до 11.00</w:t>
            </w: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 xml:space="preserve">представления ЭД "Справка по операциям БУ/АУ" (при наличии ссылки на  ЭД "Сведения об обязательствах и договоре БУ/АУ") </w:t>
            </w:r>
          </w:p>
        </w:tc>
        <w:tc>
          <w:tcPr>
            <w:tcW w:w="1985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БУ/АУ</w:t>
            </w:r>
          </w:p>
        </w:tc>
      </w:tr>
      <w:tr w:rsidR="00A83C15" w:rsidRPr="00CB096C" w:rsidTr="001E649A">
        <w:trPr>
          <w:trHeight w:val="250"/>
        </w:trPr>
        <w:tc>
          <w:tcPr>
            <w:tcW w:w="1277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i/>
                <w:sz w:val="22"/>
                <w:szCs w:val="22"/>
              </w:rPr>
              <w:t>до 14.00</w:t>
            </w: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представления ЭД "Справка по операциям БУ/АУ" (при отсутствии ссылки на  ЭД "Сведения об обязательствах и договоре БУ/АУ")</w:t>
            </w:r>
          </w:p>
        </w:tc>
        <w:tc>
          <w:tcPr>
            <w:tcW w:w="1985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3C15" w:rsidRPr="00CB096C" w:rsidTr="001E649A">
        <w:trPr>
          <w:trHeight w:val="250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представление ЭД "Справка - уведомление об уточнении операций БУ/АУ" по уточнению учетных записей по кодам бюджетной классификации Российской Федерации и (или) иным аналитическим признакам</w:t>
            </w:r>
          </w:p>
        </w:tc>
        <w:tc>
          <w:tcPr>
            <w:tcW w:w="1985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3C15" w:rsidRPr="00CB096C" w:rsidTr="001E649A">
        <w:trPr>
          <w:trHeight w:val="250"/>
        </w:trPr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jc w:val="both"/>
              <w:rPr>
                <w:sz w:val="22"/>
                <w:szCs w:val="22"/>
              </w:rPr>
            </w:pPr>
            <w:r w:rsidRPr="00CB096C">
              <w:rPr>
                <w:sz w:val="22"/>
                <w:szCs w:val="22"/>
              </w:rPr>
              <w:t>Представления ЭД «Справка по расходам» по уточнению учетных записей по иным аналитическим признакам (не требующих выгрузки в УФК по Ленинградской области)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</w:tr>
      <w:tr w:rsidR="00A83C15" w:rsidRPr="00CB096C" w:rsidTr="001E649A">
        <w:trPr>
          <w:trHeight w:val="181"/>
        </w:trPr>
        <w:tc>
          <w:tcPr>
            <w:tcW w:w="1277" w:type="dxa"/>
            <w:vMerge w:val="restart"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.01.2025</w:t>
            </w:r>
          </w:p>
        </w:tc>
        <w:tc>
          <w:tcPr>
            <w:tcW w:w="8930" w:type="dxa"/>
            <w:gridSpan w:val="2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b/>
                <w:sz w:val="22"/>
                <w:szCs w:val="22"/>
              </w:rPr>
              <w:t>Последний день:</w:t>
            </w:r>
          </w:p>
        </w:tc>
      </w:tr>
      <w:tr w:rsidR="00A83C15" w:rsidRPr="00CB096C" w:rsidTr="001E649A">
        <w:tc>
          <w:tcPr>
            <w:tcW w:w="1277" w:type="dxa"/>
            <w:vMerge/>
          </w:tcPr>
          <w:p w:rsidR="00A83C15" w:rsidRPr="00CB096C" w:rsidRDefault="00A83C15" w:rsidP="001E6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A83C15" w:rsidRPr="00CB096C" w:rsidRDefault="00A83C15" w:rsidP="001E64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внесения остатков нали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чных денежных средств на </w:t>
            </w: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1 января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 xml:space="preserve"> года, неиспользованных в нерабочие праздничные дни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 xml:space="preserve"> года, на счет № 40116 в целях последующего перечисления в доход местного бюджета</w:t>
            </w:r>
          </w:p>
        </w:tc>
        <w:tc>
          <w:tcPr>
            <w:tcW w:w="1985" w:type="dxa"/>
          </w:tcPr>
          <w:p w:rsidR="00A83C15" w:rsidRPr="00CB096C" w:rsidRDefault="00A83C15" w:rsidP="001E6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6C">
              <w:rPr>
                <w:rFonts w:ascii="Times New Roman" w:hAnsi="Times New Roman" w:cs="Times New Roman"/>
                <w:sz w:val="22"/>
                <w:szCs w:val="22"/>
              </w:rPr>
              <w:t>ПБС, БУ/АУ осуществляющие свою деятельность в нерабочие праздничные дни в Российской Федерации</w:t>
            </w:r>
          </w:p>
        </w:tc>
      </w:tr>
    </w:tbl>
    <w:p w:rsidR="00A83C15" w:rsidRPr="00CD2A25" w:rsidRDefault="00A83C15" w:rsidP="00A83C15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3C15" w:rsidRPr="00F13296" w:rsidRDefault="00A83C15" w:rsidP="00A83C15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3296">
        <w:rPr>
          <w:rFonts w:ascii="Times New Roman" w:hAnsi="Times New Roman" w:cs="Times New Roman"/>
          <w:b/>
          <w:sz w:val="22"/>
          <w:szCs w:val="22"/>
        </w:rPr>
        <w:t>Принятые сокращения:</w:t>
      </w:r>
    </w:p>
    <w:p w:rsidR="00A83C15" w:rsidRPr="00F13296" w:rsidRDefault="00A83C15" w:rsidP="00A83C15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13296">
        <w:rPr>
          <w:rFonts w:ascii="Times New Roman" w:hAnsi="Times New Roman" w:cs="Times New Roman"/>
          <w:sz w:val="22"/>
          <w:szCs w:val="22"/>
        </w:rPr>
        <w:t xml:space="preserve">Комитет финансов – </w:t>
      </w:r>
      <w:r>
        <w:rPr>
          <w:rFonts w:ascii="Times New Roman" w:hAnsi="Times New Roman" w:cs="Times New Roman"/>
          <w:sz w:val="22"/>
          <w:szCs w:val="22"/>
        </w:rPr>
        <w:t>комитет финансов Сосновоборского городского округа;</w:t>
      </w:r>
    </w:p>
    <w:p w:rsidR="00A83C15" w:rsidRPr="00F13296" w:rsidRDefault="00A83C15" w:rsidP="00A83C15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13296">
        <w:rPr>
          <w:rFonts w:ascii="Times New Roman" w:hAnsi="Times New Roman" w:cs="Times New Roman"/>
          <w:sz w:val="22"/>
          <w:szCs w:val="22"/>
        </w:rPr>
        <w:t xml:space="preserve">ГАД – </w:t>
      </w:r>
      <w:r>
        <w:rPr>
          <w:rFonts w:ascii="Times New Roman" w:hAnsi="Times New Roman" w:cs="Times New Roman"/>
          <w:sz w:val="22"/>
          <w:szCs w:val="22"/>
        </w:rPr>
        <w:t>главный администратор доходов бюджета;</w:t>
      </w:r>
    </w:p>
    <w:p w:rsidR="00A83C15" w:rsidRPr="00F13296" w:rsidRDefault="00A83C15" w:rsidP="00A83C15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13296">
        <w:rPr>
          <w:rFonts w:ascii="Times New Roman" w:hAnsi="Times New Roman" w:cs="Times New Roman"/>
          <w:sz w:val="22"/>
          <w:szCs w:val="22"/>
        </w:rPr>
        <w:t>ГРБС –</w:t>
      </w:r>
      <w:r>
        <w:rPr>
          <w:rFonts w:ascii="Times New Roman" w:hAnsi="Times New Roman" w:cs="Times New Roman"/>
          <w:sz w:val="22"/>
          <w:szCs w:val="22"/>
        </w:rPr>
        <w:t xml:space="preserve"> главный распорядитель бюджетных средств;</w:t>
      </w:r>
    </w:p>
    <w:p w:rsidR="00A83C15" w:rsidRPr="00F13296" w:rsidRDefault="00A83C15" w:rsidP="00A83C15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13296">
        <w:rPr>
          <w:rFonts w:ascii="Times New Roman" w:hAnsi="Times New Roman" w:cs="Times New Roman"/>
          <w:sz w:val="22"/>
          <w:szCs w:val="22"/>
        </w:rPr>
        <w:t>ПБС –</w:t>
      </w:r>
      <w:r>
        <w:rPr>
          <w:rFonts w:ascii="Times New Roman" w:hAnsi="Times New Roman" w:cs="Times New Roman"/>
          <w:sz w:val="22"/>
          <w:szCs w:val="22"/>
        </w:rPr>
        <w:t xml:space="preserve"> получатель бюджетных средств;</w:t>
      </w:r>
    </w:p>
    <w:p w:rsidR="00A83C15" w:rsidRPr="00F13296" w:rsidRDefault="00A83C15" w:rsidP="00A83C15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13296">
        <w:rPr>
          <w:rFonts w:ascii="Times New Roman" w:hAnsi="Times New Roman" w:cs="Times New Roman"/>
          <w:sz w:val="22"/>
          <w:szCs w:val="22"/>
        </w:rPr>
        <w:t>БУ/АУ –</w:t>
      </w:r>
      <w:r>
        <w:rPr>
          <w:rFonts w:ascii="Times New Roman" w:hAnsi="Times New Roman" w:cs="Times New Roman"/>
          <w:sz w:val="22"/>
          <w:szCs w:val="22"/>
        </w:rPr>
        <w:t xml:space="preserve"> бюджетные и автономные учреждения</w:t>
      </w:r>
    </w:p>
    <w:p w:rsidR="00106BF7" w:rsidRDefault="00106BF7">
      <w:bookmarkStart w:id="3" w:name="_GoBack"/>
      <w:bookmarkEnd w:id="3"/>
    </w:p>
    <w:sectPr w:rsidR="00106BF7" w:rsidSect="00BA1D5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83C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83C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83C15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83C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83C15">
    <w:pPr>
      <w:pStyle w:val="a3"/>
    </w:pPr>
  </w:p>
  <w:p w:rsidR="00CD7CB7" w:rsidRDefault="00A83C1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84C40" wp14:editId="04821DBA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5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EDE" w:rsidRPr="00A13EDE" w:rsidRDefault="00A83C15" w:rsidP="00A13EDE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6408510/726177(1)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A84C40" id="AryanRegN" o:spid="_x0000_s1026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jFRgMAAM8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DyNBSniiqdoT8cBWtzY520qPQOexulfNSoNoke4yVdp/wIB2LqH7LqFsZxCFzagXB/DDiMJZ&#10;FA36IIMb/2BdKW0+MFkiK4yxggdzeSSbhTa1aqtiLxNyXnAO+2TEBdo2N4B/AtzJODEglhWg0WKF&#10;EeErICU1yrk8srUuE6JztCHACy15kTZxcWF9M8ecOgJY7QyIbh9wuVf9OgyGN4ObQezFUf/Gi4Mk&#10;8abzWez15+FlL3mXzGZJ+M1eG8ajvEhTJmzgLcPC+HUv2HC95kbHMRevdWdDcpXCZlzVWAilTJiw&#10;QXOk6Z9G4h4BgJ2hCqM4eB8NvXl/cOnF87jnDS+DgReEw/fDfhAP42R+impRCPbvqP7wJY9gvZgA&#10;l5ucpKzOS8/xsCZUlzKXhBNnLxKje0YL+JA8YHLLDt+WSl0cTjJ7DoqWpw8sgwqz5eB42F1/+mKv&#10;Dtg5tNoZUKDzHf7Kd4270bemNcE74+D3xp2Fu1kK0xmXhZB1hZ0h4x0Ps1of8naUGiua3XIHwVlx&#10;KdM9tCIloQ1Ax9AVnRdQpguizT1R0JRhEwaNuYNPxiXUvmwkjHKpvvxs3+pDpcEpRlto8lDrn9dE&#10;MYz4RwFd1E6EVlCtsGwFsS5nEvpD6KJxIhgow1sxU7J8hvkztbfAEREU7qo7TrOYmXrYwASjbDp1&#10;atD5K2IW4rGi1rlNqOXd0+6ZqKpphAZodSvbAUBGZ/2w1rWWQk7XRmaFa5aHPDaphqnhyNpMODuW&#10;jtdO6zCHJ98BAAD//wMAUEsDBBQABgAIAAAAIQD3qK373wAAAAoBAAAPAAAAZHJzL2Rvd25yZXYu&#10;eG1sTI9BT8MwDIXvSPyHyEhc0JYMoQ5K0wmQuHBA27ohjmlj2orGrppsK/x6Ui5wsuz39Py9bDW6&#10;Thxx8C2ThsVcgUCq2LZUa9gVz7NbED4YsqZjQg1f6GGVn59lJrV8og0et6EWMYR8ajQ0IfSplL5q&#10;0Bk/5x4pah88OBPiOtTSDuYUw10nr5VKpDMtxQ+N6fGpwepze3AaeM3Je7lbvJjl+uq13b8VxSN/&#10;a315MT7cgwg4hj8zTPgRHfLIVPKBrBedhuROxS5Bw800J4P6vZQalokCmWfyf4X8BwAA//8DAFBL&#10;AQItABQABgAIAAAAIQC2gziS/gAAAOEBAAATAAAAAAAAAAAAAAAAAAAAAABbQ29udGVudF9UeXBl&#10;c10ueG1sUEsBAi0AFAAGAAgAAAAhADj9If/WAAAAlAEAAAsAAAAAAAAAAAAAAAAALwEAAF9yZWxz&#10;Ly5yZWxzUEsBAi0AFAAGAAgAAAAhABPkSMVGAwAAzwcAAA4AAAAAAAAAAAAAAAAALgIAAGRycy9l&#10;Mm9Eb2MueG1sUEsBAi0AFAAGAAgAAAAhAPeorfvfAAAACgEAAA8AAAAAAAAAAAAAAAAAoAUAAGRy&#10;cy9kb3ducmV2LnhtbFBLBQYAAAAABAAEAPMAAACsBgAAAAA=&#10;" filled="f" fillcolor="#5b9bd5 [3204]" stroked="f" strokecolor="#1f4d78 [1604]" strokeweight="2pt">
              <v:textbox inset="0,0,0,0">
                <w:txbxContent>
                  <w:p w:rsidR="00A13EDE" w:rsidRPr="00A13EDE" w:rsidRDefault="00A83C15" w:rsidP="00A13EDE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6408510/726177(1)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83C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68"/>
    <w:rsid w:val="00106BF7"/>
    <w:rsid w:val="005B1968"/>
    <w:rsid w:val="00A8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A470"/>
  <w15:chartTrackingRefBased/>
  <w15:docId w15:val="{482557BD-9198-4CCD-B508-3749F67D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3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3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83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3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83C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5495</Characters>
  <Application>Microsoft Office Word</Application>
  <DocSecurity>0</DocSecurity>
  <Lines>45</Lines>
  <Paragraphs>12</Paragraphs>
  <ScaleCrop>false</ScaleCrop>
  <Company>  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2</cp:revision>
  <dcterms:created xsi:type="dcterms:W3CDTF">2025-11-13T06:18:00Z</dcterms:created>
  <dcterms:modified xsi:type="dcterms:W3CDTF">2025-11-13T06:18:00Z</dcterms:modified>
</cp:coreProperties>
</file>