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DF" w:rsidRPr="00360CDF" w:rsidRDefault="00360CDF" w:rsidP="00360CDF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-634365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CDF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360CDF" w:rsidRPr="00360CDF" w:rsidRDefault="00360CDF" w:rsidP="00360CDF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360CDF" w:rsidRPr="00360CDF" w:rsidRDefault="00360CDF" w:rsidP="00360CDF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(</w:t>
      </w:r>
      <w:r w:rsidR="005C5188">
        <w:rPr>
          <w:rFonts w:ascii="Times New Roman" w:hAnsi="Times New Roman" w:cs="Times New Roman"/>
          <w:b/>
        </w:rPr>
        <w:t>ТРЕТИЙ</w:t>
      </w:r>
      <w:r w:rsidRPr="00360CDF">
        <w:rPr>
          <w:rFonts w:ascii="Times New Roman" w:hAnsi="Times New Roman" w:cs="Times New Roman"/>
          <w:b/>
        </w:rPr>
        <w:t xml:space="preserve"> СОЗЫВ)</w:t>
      </w:r>
    </w:p>
    <w:p w:rsidR="00360CDF" w:rsidRPr="00360CDF" w:rsidRDefault="00432AA5" w:rsidP="00360CD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360CDF" w:rsidRPr="0050121C" w:rsidRDefault="00360CDF" w:rsidP="00360C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0121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0121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360CDF" w:rsidRPr="00360CDF" w:rsidRDefault="00360CDF" w:rsidP="00360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4BE" w:rsidRPr="00D924BE" w:rsidRDefault="00D924BE" w:rsidP="00D92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BE">
        <w:rPr>
          <w:rFonts w:ascii="Times New Roman" w:hAnsi="Times New Roman" w:cs="Times New Roman"/>
          <w:b/>
          <w:sz w:val="28"/>
          <w:szCs w:val="28"/>
        </w:rPr>
        <w:t xml:space="preserve">от 31.01.2018 г.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D7592B" w:rsidRDefault="00D7592B" w:rsidP="00D7592B">
      <w:pPr>
        <w:pStyle w:val="a3"/>
        <w:rPr>
          <w:rFonts w:ascii="Times New Roman" w:hAnsi="Times New Roman" w:cs="Times New Roman"/>
        </w:rPr>
      </w:pPr>
      <w:r>
        <w:rPr>
          <w:sz w:val="24"/>
        </w:rPr>
        <w:t>=========================================================================</w:t>
      </w:r>
    </w:p>
    <w:p w:rsidR="00D7592B" w:rsidRPr="004E4670" w:rsidRDefault="00D7592B" w:rsidP="00D75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670">
        <w:rPr>
          <w:rFonts w:ascii="Times New Roman" w:hAnsi="Times New Roman" w:cs="Times New Roman"/>
          <w:b/>
          <w:sz w:val="24"/>
          <w:szCs w:val="24"/>
        </w:rPr>
        <w:t>С учетом изменений и дополнений, внесенных:</w:t>
      </w:r>
    </w:p>
    <w:p w:rsidR="00D7592B" w:rsidRPr="004E4670" w:rsidRDefault="00D7592B" w:rsidP="00D7592B">
      <w:pPr>
        <w:pStyle w:val="a3"/>
        <w:rPr>
          <w:rFonts w:ascii="Times New Roman" w:hAnsi="Times New Roman"/>
          <w:b/>
          <w:sz w:val="24"/>
          <w:szCs w:val="24"/>
        </w:rPr>
      </w:pPr>
      <w:r w:rsidRPr="004E4670">
        <w:rPr>
          <w:rFonts w:ascii="Times New Roman" w:hAnsi="Times New Roman" w:cs="Times New Roman"/>
          <w:b/>
          <w:sz w:val="24"/>
          <w:szCs w:val="24"/>
        </w:rPr>
        <w:t xml:space="preserve">- решением совета депутатов </w:t>
      </w:r>
      <w:r w:rsidRPr="004E4670">
        <w:rPr>
          <w:rFonts w:ascii="Times New Roman" w:hAnsi="Times New Roman"/>
          <w:b/>
          <w:sz w:val="24"/>
          <w:szCs w:val="24"/>
        </w:rPr>
        <w:t>от 22.11.2019 года № 49</w:t>
      </w:r>
      <w:r w:rsidR="00240C3F">
        <w:rPr>
          <w:rFonts w:ascii="Times New Roman" w:hAnsi="Times New Roman"/>
          <w:b/>
          <w:sz w:val="24"/>
          <w:szCs w:val="24"/>
        </w:rPr>
        <w:t>;</w:t>
      </w:r>
    </w:p>
    <w:p w:rsidR="00D7592B" w:rsidRDefault="00D7592B" w:rsidP="00D7592B">
      <w:pPr>
        <w:pStyle w:val="a3"/>
        <w:rPr>
          <w:rFonts w:ascii="Times New Roman" w:hAnsi="Times New Roman"/>
          <w:b/>
          <w:sz w:val="24"/>
          <w:szCs w:val="24"/>
        </w:rPr>
      </w:pPr>
      <w:r w:rsidRPr="004E4670">
        <w:rPr>
          <w:rFonts w:ascii="Times New Roman" w:hAnsi="Times New Roman" w:cs="Times New Roman"/>
          <w:b/>
          <w:sz w:val="24"/>
          <w:szCs w:val="24"/>
        </w:rPr>
        <w:t xml:space="preserve">- решением совета депутатов </w:t>
      </w:r>
      <w:r w:rsidRPr="004E4670">
        <w:rPr>
          <w:rFonts w:ascii="Times New Roman" w:hAnsi="Times New Roman"/>
          <w:b/>
          <w:sz w:val="24"/>
          <w:szCs w:val="24"/>
        </w:rPr>
        <w:t>от 2</w:t>
      </w:r>
      <w:r>
        <w:rPr>
          <w:rFonts w:ascii="Times New Roman" w:hAnsi="Times New Roman"/>
          <w:b/>
          <w:sz w:val="24"/>
          <w:szCs w:val="24"/>
        </w:rPr>
        <w:t>4</w:t>
      </w:r>
      <w:r w:rsidRPr="004E467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07</w:t>
      </w:r>
      <w:r w:rsidRPr="004E4670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4E4670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87</w:t>
      </w:r>
      <w:r w:rsidR="00F37DB9">
        <w:rPr>
          <w:rFonts w:ascii="Times New Roman" w:hAnsi="Times New Roman"/>
          <w:b/>
          <w:sz w:val="24"/>
          <w:szCs w:val="24"/>
        </w:rPr>
        <w:t>;</w:t>
      </w:r>
    </w:p>
    <w:p w:rsidR="00F37DB9" w:rsidRDefault="00D52D88" w:rsidP="00F37DB9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 xml:space="preserve">- решением совета депутатов </w:t>
      </w:r>
      <w:r w:rsidR="00F37DB9" w:rsidRPr="00F37DB9">
        <w:rPr>
          <w:rFonts w:ascii="Times New Roman" w:hAnsi="Times New Roman" w:cs="Times New Roman"/>
          <w:b/>
          <w:spacing w:val="20"/>
          <w:sz w:val="24"/>
          <w:szCs w:val="24"/>
        </w:rPr>
        <w:t>от 26.03.2021 года № 34</w:t>
      </w:r>
      <w:r w:rsidR="000B76A9">
        <w:rPr>
          <w:rFonts w:ascii="Times New Roman" w:hAnsi="Times New Roman" w:cs="Times New Roman"/>
          <w:b/>
          <w:spacing w:val="20"/>
          <w:sz w:val="24"/>
          <w:szCs w:val="24"/>
        </w:rPr>
        <w:t>;</w:t>
      </w:r>
    </w:p>
    <w:p w:rsidR="00B612BF" w:rsidRPr="00F37DB9" w:rsidRDefault="00B612BF" w:rsidP="00F37DB9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 xml:space="preserve">- решением совета депутатов </w:t>
      </w:r>
      <w:r w:rsidRPr="00F37DB9">
        <w:rPr>
          <w:rFonts w:ascii="Times New Roman" w:hAnsi="Times New Roman" w:cs="Times New Roman"/>
          <w:b/>
          <w:spacing w:val="20"/>
          <w:sz w:val="24"/>
          <w:szCs w:val="24"/>
        </w:rPr>
        <w:t>от 2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7</w:t>
      </w:r>
      <w:r w:rsidRPr="00F37DB9">
        <w:rPr>
          <w:rFonts w:ascii="Times New Roman" w:hAnsi="Times New Roman" w:cs="Times New Roman"/>
          <w:b/>
          <w:spacing w:val="20"/>
          <w:sz w:val="24"/>
          <w:szCs w:val="24"/>
        </w:rPr>
        <w:t>.0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1</w:t>
      </w:r>
      <w:r w:rsidRPr="00F37DB9">
        <w:rPr>
          <w:rFonts w:ascii="Times New Roman" w:hAnsi="Times New Roman" w:cs="Times New Roman"/>
          <w:b/>
          <w:spacing w:val="20"/>
          <w:sz w:val="24"/>
          <w:szCs w:val="24"/>
        </w:rPr>
        <w:t>.202</w:t>
      </w:r>
      <w:r w:rsidR="000B76A9">
        <w:rPr>
          <w:rFonts w:ascii="Times New Roman" w:hAnsi="Times New Roman" w:cs="Times New Roman"/>
          <w:b/>
          <w:spacing w:val="20"/>
          <w:sz w:val="24"/>
          <w:szCs w:val="24"/>
        </w:rPr>
        <w:t>2</w:t>
      </w:r>
      <w:r w:rsidRPr="00F37DB9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12</w:t>
      </w:r>
    </w:p>
    <w:p w:rsidR="00D7592B" w:rsidRDefault="00D7592B" w:rsidP="00F37DB9">
      <w:pPr>
        <w:pStyle w:val="a3"/>
        <w:rPr>
          <w:rFonts w:ascii="Times New Roman" w:hAnsi="Times New Roman" w:cs="Times New Roman"/>
        </w:rPr>
      </w:pPr>
      <w:r>
        <w:rPr>
          <w:sz w:val="24"/>
        </w:rPr>
        <w:t>==================================================================</w:t>
      </w:r>
    </w:p>
    <w:tbl>
      <w:tblPr>
        <w:tblW w:w="0" w:type="auto"/>
        <w:tblLayout w:type="fixed"/>
        <w:tblLook w:val="0000"/>
      </w:tblPr>
      <w:tblGrid>
        <w:gridCol w:w="7196"/>
      </w:tblGrid>
      <w:tr w:rsidR="00D7592B" w:rsidRPr="004373B1" w:rsidTr="002D19A0">
        <w:tc>
          <w:tcPr>
            <w:tcW w:w="7196" w:type="dxa"/>
          </w:tcPr>
          <w:p w:rsidR="00D7592B" w:rsidRPr="004373B1" w:rsidRDefault="00D7592B" w:rsidP="002D19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«Об установлении оснований для принятия решений советом депутатов Сосновоборского городского окр</w:t>
            </w: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га о разрешении администрации Сосновоборского г</w:t>
            </w: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родского округа приватизации жилых помещений специализированного жилищного фонда служебных жилых помещений и разрешений в переводе жилых помещений специализированного жилищного фонда служебных жилых помещений в жилищный фонд с</w:t>
            </w: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циального использования»</w:t>
            </w:r>
          </w:p>
        </w:tc>
      </w:tr>
    </w:tbl>
    <w:p w:rsidR="00D7592B" w:rsidRDefault="00D7592B" w:rsidP="00D7592B">
      <w:pPr>
        <w:pStyle w:val="a3"/>
        <w:rPr>
          <w:rFonts w:ascii="Times New Roman" w:hAnsi="Times New Roman" w:cs="Times New Roman"/>
        </w:rPr>
      </w:pPr>
    </w:p>
    <w:p w:rsidR="00A24F8E" w:rsidRDefault="00A24F8E" w:rsidP="00A24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Рассмотрев проект, представленный рабочей группой, и на основании ст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тьи 14 Жилищного Кодекса Российской Федерации (Федеральный закон от 29.12.2004 N188-Ф3 с изменениями), статьи 7 Федерального закона от 29.12.2004 N189-ФЗ «О введении в действие Жилищного кодекса Российской Федерации» (с изменениями), пункта 5 части 1 и пункта 30 части 2 статьи 27 Устава муниципал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ного образования Сосновоборский городской округ, пункта 2.2 «Положения о п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рядке</w:t>
      </w:r>
      <w:proofErr w:type="gramEnd"/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управления и распоряжения муниципальной собственностью муниципал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ного образования Сосновоборский городской округ», утвержденного решением Собрания представителей N96 от 18.09.2001 (с изменениями), а также Постано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ления Конституционного Суда от 30 марта 2012. N9-П «По делу о проверке ко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ституционности части второй статьи 4 Закона Российской Федерации «О приват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зации жилищного фонда в Российской Федерации» в связи с жалобой админис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рации муниципального образования «</w:t>
      </w:r>
      <w:proofErr w:type="spellStart"/>
      <w:r w:rsidRPr="006566BE">
        <w:rPr>
          <w:rFonts w:ascii="Arial" w:eastAsia="Times New Roman" w:hAnsi="Arial" w:cs="Arial"/>
          <w:color w:val="000000"/>
          <w:sz w:val="24"/>
          <w:szCs w:val="24"/>
        </w:rPr>
        <w:t>Звениговский</w:t>
      </w:r>
      <w:proofErr w:type="spellEnd"/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муниципальный район» ре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публики Марий Эл», совет депутатов Сосновоборского городского округа</w:t>
      </w:r>
    </w:p>
    <w:p w:rsidR="00A24F8E" w:rsidRDefault="00A24F8E" w:rsidP="00A24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24F8E" w:rsidRDefault="00A24F8E" w:rsidP="00A24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Е Ш И Л:</w:t>
      </w:r>
    </w:p>
    <w:p w:rsidR="00A24F8E" w:rsidRDefault="00A24F8E" w:rsidP="00A24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24F8E" w:rsidRPr="006566BE" w:rsidRDefault="00A24F8E" w:rsidP="00A24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6566BE">
        <w:rPr>
          <w:rFonts w:ascii="Arial" w:eastAsia="Times New Roman" w:hAnsi="Arial" w:cs="Arial"/>
          <w:color w:val="000000"/>
          <w:sz w:val="24"/>
          <w:szCs w:val="24"/>
        </w:rPr>
        <w:t>Установить следующие условия, наличие которых в совокупности являе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ся основанием для принятия к рассмотрению советом депутатов Сосновоборского городского округа заявлений граждан о разрешении приватизации жилых пом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щений специализированного жилищного фонда служебных жилых помещений, предоставленным им после передачи данных жилых помещений в муниципальную собственность и разрешений в переводе таких жилых помещений специализир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ванного жилищного фонда служебных жилых помещений в жилищный фонд соц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ального использования:</w:t>
      </w:r>
      <w:proofErr w:type="gramEnd"/>
    </w:p>
    <w:p w:rsidR="00A24F8E" w:rsidRPr="00F50B11" w:rsidRDefault="00A24F8E" w:rsidP="00A24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0B11">
        <w:rPr>
          <w:rFonts w:ascii="Arial" w:eastAsia="Times New Roman" w:hAnsi="Arial" w:cs="Arial"/>
          <w:color w:val="000000"/>
          <w:sz w:val="24"/>
          <w:szCs w:val="24"/>
        </w:rPr>
        <w:lastRenderedPageBreak/>
        <w:t>1.1. проживание нанимателя в служебных жилых помещениях муниципал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ного жилищного фонда не менее 5 лет и наличие стажа трудовой деятельности не менее 5 лет в должностях, дающих право на получение служебного жилого пом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щения в соответствии с Жилищным кодексом Российской Федерации и муниц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пальными правовыми актами совета депутатов Сосновоборского городского окр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га;</w:t>
      </w:r>
    </w:p>
    <w:p w:rsidR="00A24F8E" w:rsidRDefault="00A24F8E" w:rsidP="00A24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0B11">
        <w:rPr>
          <w:rFonts w:ascii="Arial" w:eastAsia="Times New Roman" w:hAnsi="Arial" w:cs="Arial"/>
          <w:color w:val="000000"/>
          <w:sz w:val="24"/>
          <w:szCs w:val="24"/>
        </w:rPr>
        <w:t>1.2. Отсутствие у нанимателя и проживающих с ним членов семьи жилья на праве собственности на территории Сосновоборского городского округа либо н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личия жилья на территории Сосновоборского городского округа на праве собс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 xml:space="preserve">венности </w:t>
      </w:r>
      <w:proofErr w:type="gramStart"/>
      <w:r w:rsidRPr="00F50B11">
        <w:rPr>
          <w:rFonts w:ascii="Arial" w:eastAsia="Times New Roman" w:hAnsi="Arial" w:cs="Arial"/>
          <w:color w:val="000000"/>
          <w:sz w:val="24"/>
          <w:szCs w:val="24"/>
        </w:rPr>
        <w:t>менее учетной</w:t>
      </w:r>
      <w:proofErr w:type="gramEnd"/>
      <w:r w:rsidRPr="00F50B11">
        <w:rPr>
          <w:rFonts w:ascii="Arial" w:eastAsia="Times New Roman" w:hAnsi="Arial" w:cs="Arial"/>
          <w:color w:val="000000"/>
          <w:sz w:val="24"/>
          <w:szCs w:val="24"/>
        </w:rPr>
        <w:t xml:space="preserve"> нормы.</w:t>
      </w:r>
    </w:p>
    <w:p w:rsidR="00A24F8E" w:rsidRDefault="00A24F8E" w:rsidP="00A24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0B11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F50B11">
        <w:rPr>
          <w:rFonts w:ascii="Arial" w:eastAsia="Times New Roman" w:hAnsi="Arial" w:cs="Arial"/>
          <w:color w:val="000000"/>
          <w:sz w:val="24"/>
          <w:szCs w:val="24"/>
        </w:rPr>
        <w:t>Наличие оснований, указанных в пунктах 1.1 и 1.2 настоящего решения не являются обязательным для принятия в каждом конкретном случае советом депутатов Сосновоборского городского округа решений о разрешении админис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рации Сосновоборского городского округа приватизации жилого помещения сп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циализированного жилищного фонда служебных жилых помещений или разреш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50B11">
        <w:rPr>
          <w:rFonts w:ascii="Arial" w:eastAsia="Times New Roman" w:hAnsi="Arial" w:cs="Arial"/>
          <w:color w:val="000000"/>
          <w:sz w:val="24"/>
          <w:szCs w:val="24"/>
        </w:rPr>
        <w:t>ний в переводе таких жилых помещений специализированного жилищного фонда служебных жилых помещений в жилищный фонд социального использования, а лишь</w:t>
      </w:r>
      <w:proofErr w:type="gramEnd"/>
      <w:r w:rsidRPr="00F50B11">
        <w:rPr>
          <w:rFonts w:ascii="Arial" w:eastAsia="Times New Roman" w:hAnsi="Arial" w:cs="Arial"/>
          <w:color w:val="000000"/>
          <w:sz w:val="24"/>
          <w:szCs w:val="24"/>
        </w:rPr>
        <w:t xml:space="preserve"> является достаточным для того, чтобы граждане – наниматели служебных жилых помещений могли бы рассчитывать на принятие таких решений в порядке исключения (в целях сохранения для муниципалитета массива служебных жилых помещений в объеме, соответствующем их </w:t>
      </w:r>
      <w:proofErr w:type="gramStart"/>
      <w:r w:rsidRPr="00F50B11">
        <w:rPr>
          <w:rFonts w:ascii="Arial" w:eastAsia="Times New Roman" w:hAnsi="Arial" w:cs="Arial"/>
          <w:color w:val="000000"/>
          <w:sz w:val="24"/>
          <w:szCs w:val="24"/>
        </w:rPr>
        <w:t>целевому</w:t>
      </w:r>
      <w:proofErr w:type="gramEnd"/>
      <w:r w:rsidRPr="00F50B11">
        <w:rPr>
          <w:rFonts w:ascii="Arial" w:eastAsia="Times New Roman" w:hAnsi="Arial" w:cs="Arial"/>
          <w:color w:val="000000"/>
          <w:sz w:val="24"/>
          <w:szCs w:val="24"/>
        </w:rPr>
        <w:t xml:space="preserve"> предназначении).</w:t>
      </w:r>
    </w:p>
    <w:p w:rsidR="00A24F8E" w:rsidRPr="006566BE" w:rsidRDefault="00A24F8E" w:rsidP="00A24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Pr="006566BE">
        <w:rPr>
          <w:rFonts w:ascii="Arial" w:eastAsia="Times New Roman" w:hAnsi="Arial" w:cs="Arial"/>
          <w:color w:val="000000"/>
          <w:sz w:val="24"/>
          <w:szCs w:val="24"/>
        </w:rPr>
        <w:t>К отношениям по пользованию жилыми помещениями, которые наход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лись в зданиях, принадлежавших государственным или муниципальным предпр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ятиям либо государственным или муниципальным учреждениям, и использов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лись в качестве общежитий или служебных жилых помещений, и переданы в в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дение органов местного самоуправления городского округа, вне зависимости от даты передачи этих жилых помещений и от даты их предоставления гражданам на законных основаниях применяются нормы Жилищного </w:t>
      </w:r>
      <w:hyperlink r:id="rId8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кодекса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Российской</w:t>
      </w:r>
      <w:proofErr w:type="gramEnd"/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Ф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дерации о договоре социального найма.</w:t>
      </w:r>
    </w:p>
    <w:p w:rsidR="00A24F8E" w:rsidRDefault="00A24F8E" w:rsidP="00A24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Pr="006566BE">
        <w:rPr>
          <w:rFonts w:ascii="Arial" w:eastAsia="Times New Roman" w:hAnsi="Arial" w:cs="Arial"/>
          <w:color w:val="000000"/>
          <w:sz w:val="24"/>
          <w:szCs w:val="24"/>
        </w:rPr>
        <w:t>К отношениям по пользованию жилыми помещениями, которые наход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лись в зданиях, принадлежавших государственным или муниципальным предпр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ятиям либо государственным или муниципальным учреждениям, и использов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лись в качестве общежитий или служебных жилых помещений, и не были перед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ны в ведение органов местного самоуправления городского округа в результате изменения формы собственности или ликвидации указанных предприятий или у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реждений, если эти жилые помещения предоставлены гражданам на законных о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нованиях</w:t>
      </w:r>
      <w:proofErr w:type="gramEnd"/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до даты изменения формы собственности или ликвидации указанных предприятий или учреждений, применяются нормы </w:t>
      </w:r>
      <w:hyperlink r:id="rId9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главы 35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Гражданского коде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са Российской Федерации о договоре найма, за исключением </w:t>
      </w:r>
      <w:hyperlink r:id="rId10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статьи 672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11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пункта 2 статьи 674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12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статей 683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hyperlink r:id="rId13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684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14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пункта 1 статьи 687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Гражданского кодекса Росси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ской Федерации, а также правила о расторжении краткосрочного договора найма </w:t>
      </w:r>
      <w:hyperlink r:id="rId15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абзаца второго пункта 2 статьи 687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Гражданского кодекса Российской Федерации</w:t>
      </w:r>
      <w:proofErr w:type="gramEnd"/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К отношениям по пользованию жилыми помещениями, указанными в настоящей части, также применяются нормы </w:t>
      </w:r>
      <w:hyperlink r:id="rId16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части 2 статьи 60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17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частей 2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hyperlink r:id="rId18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3 статьи 83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19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части 1 статьи 154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20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частей 1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hyperlink r:id="rId21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5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22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9.1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hyperlink r:id="rId23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13 статьи 156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24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статей 157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  <w:proofErr w:type="gramEnd"/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" w:history="1">
        <w:r w:rsidRPr="006566BE">
          <w:rPr>
            <w:rFonts w:ascii="Arial" w:eastAsia="Times New Roman" w:hAnsi="Arial" w:cs="Arial"/>
            <w:color w:val="000000"/>
            <w:sz w:val="24"/>
            <w:szCs w:val="24"/>
          </w:rPr>
          <w:t>159</w:t>
        </w:r>
      </w:hyperlink>
      <w:r w:rsidRPr="006566BE">
        <w:rPr>
          <w:rFonts w:ascii="Arial" w:eastAsia="Times New Roman" w:hAnsi="Arial" w:cs="Arial"/>
          <w:color w:val="000000"/>
          <w:sz w:val="24"/>
          <w:szCs w:val="24"/>
        </w:rPr>
        <w:t xml:space="preserve"> Жилищного коде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са Российской Федерации.</w:t>
      </w:r>
    </w:p>
    <w:p w:rsidR="00A24F8E" w:rsidRDefault="00A24F8E" w:rsidP="00A24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66BE">
        <w:rPr>
          <w:rFonts w:ascii="Arial" w:eastAsia="Times New Roman" w:hAnsi="Arial" w:cs="Arial"/>
          <w:color w:val="000000"/>
          <w:sz w:val="24"/>
          <w:szCs w:val="24"/>
        </w:rPr>
        <w:t>6. Настоящее решение вступает в силу со дня официального опубликов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ния в городской газете «Маяк».</w:t>
      </w:r>
    </w:p>
    <w:p w:rsidR="00A24F8E" w:rsidRDefault="00A24F8E" w:rsidP="00A24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4F8E" w:rsidRDefault="00A24F8E" w:rsidP="00A24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66BE">
        <w:rPr>
          <w:rFonts w:ascii="Arial" w:eastAsia="Times New Roman" w:hAnsi="Arial" w:cs="Arial"/>
          <w:color w:val="000000"/>
          <w:sz w:val="24"/>
          <w:szCs w:val="24"/>
        </w:rPr>
        <w:t>7. Настоящее решение официально опубликовать в городской газете «М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як».</w:t>
      </w:r>
    </w:p>
    <w:p w:rsidR="00A24F8E" w:rsidRPr="006566BE" w:rsidRDefault="00A24F8E" w:rsidP="00A24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66B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8. </w:t>
      </w:r>
      <w:proofErr w:type="gramStart"/>
      <w:r w:rsidRPr="006566BE">
        <w:rPr>
          <w:rFonts w:ascii="Arial" w:eastAsia="Times New Roman" w:hAnsi="Arial" w:cs="Arial"/>
          <w:color w:val="000000"/>
          <w:sz w:val="24"/>
          <w:szCs w:val="24"/>
        </w:rPr>
        <w:t>Со дня вступления в силу настоящего решения признать утратившим с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лу решение совета депутатов от 27.03.2013 №45 «Об установлении оснований для принятия решений советом депутатов Сосновоборского городского округа о разрешении администрации Сосновоборского городского округа приватизации жилых помещений специализированного жилищного фонда служебных жилых п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мещений и разрешений в переводе жилых помещений специализированного ж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лищного фонда служебных жилых помещений в жилищный фонд социального и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6566BE">
        <w:rPr>
          <w:rFonts w:ascii="Arial" w:eastAsia="Times New Roman" w:hAnsi="Arial" w:cs="Arial"/>
          <w:color w:val="000000"/>
          <w:sz w:val="24"/>
          <w:szCs w:val="24"/>
        </w:rPr>
        <w:t>пользования».</w:t>
      </w:r>
      <w:proofErr w:type="gramEnd"/>
    </w:p>
    <w:p w:rsidR="00D7592B" w:rsidRDefault="00D7592B" w:rsidP="00D7592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3000" w:rsidRDefault="005A3000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3000" w:rsidRDefault="005A3000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F52F0" w:rsidRPr="005A3000" w:rsidRDefault="00CF52F0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60CDF" w:rsidRPr="00BE27E2" w:rsidRDefault="00360CDF" w:rsidP="005A30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7E2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360CDF" w:rsidRPr="00BE27E2" w:rsidRDefault="00360CDF" w:rsidP="005A30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7E2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</w:t>
      </w:r>
      <w:r w:rsidR="0050121C" w:rsidRPr="00BE27E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E27E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0121C" w:rsidRPr="00BE27E2">
        <w:rPr>
          <w:rFonts w:ascii="Times New Roman" w:hAnsi="Times New Roman" w:cs="Times New Roman"/>
          <w:b/>
          <w:sz w:val="28"/>
          <w:szCs w:val="28"/>
        </w:rPr>
        <w:t>А</w:t>
      </w:r>
      <w:r w:rsidRPr="00BE27E2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50121C" w:rsidRPr="00BE27E2">
        <w:rPr>
          <w:rFonts w:ascii="Times New Roman" w:hAnsi="Times New Roman" w:cs="Times New Roman"/>
          <w:b/>
          <w:sz w:val="28"/>
          <w:szCs w:val="28"/>
        </w:rPr>
        <w:t>Иванов</w:t>
      </w:r>
    </w:p>
    <w:sectPr w:rsidR="00360CDF" w:rsidRPr="00BE27E2" w:rsidSect="00DF698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11" w:rsidRDefault="00384411" w:rsidP="00BE27E2">
      <w:pPr>
        <w:spacing w:after="0" w:line="240" w:lineRule="auto"/>
      </w:pPr>
      <w:r>
        <w:separator/>
      </w:r>
    </w:p>
  </w:endnote>
  <w:endnote w:type="continuationSeparator" w:id="0">
    <w:p w:rsidR="00384411" w:rsidRDefault="00384411" w:rsidP="00BE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2" w:rsidRDefault="00BE27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2" w:rsidRDefault="00BE27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2" w:rsidRDefault="00BE27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11" w:rsidRDefault="00384411" w:rsidP="00BE27E2">
      <w:pPr>
        <w:spacing w:after="0" w:line="240" w:lineRule="auto"/>
      </w:pPr>
      <w:r>
        <w:separator/>
      </w:r>
    </w:p>
  </w:footnote>
  <w:footnote w:type="continuationSeparator" w:id="0">
    <w:p w:rsidR="00384411" w:rsidRDefault="00384411" w:rsidP="00BE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2" w:rsidRDefault="00BE27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2" w:rsidRDefault="00BE27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2" w:rsidRDefault="00BE27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c887771-bf85-4f47-831b-17297af630f0"/>
  </w:docVars>
  <w:rsids>
    <w:rsidRoot w:val="00365146"/>
    <w:rsid w:val="00041E81"/>
    <w:rsid w:val="000922FB"/>
    <w:rsid w:val="000B2D26"/>
    <w:rsid w:val="000B76A9"/>
    <w:rsid w:val="000E65C0"/>
    <w:rsid w:val="00105FF0"/>
    <w:rsid w:val="001818EC"/>
    <w:rsid w:val="00185A99"/>
    <w:rsid w:val="0019229A"/>
    <w:rsid w:val="001B4D8C"/>
    <w:rsid w:val="00240C3F"/>
    <w:rsid w:val="002565D5"/>
    <w:rsid w:val="0030434F"/>
    <w:rsid w:val="00356B37"/>
    <w:rsid w:val="00360CDF"/>
    <w:rsid w:val="00365146"/>
    <w:rsid w:val="00373F5B"/>
    <w:rsid w:val="00384411"/>
    <w:rsid w:val="00397CE0"/>
    <w:rsid w:val="003C24C4"/>
    <w:rsid w:val="00412469"/>
    <w:rsid w:val="00432AA5"/>
    <w:rsid w:val="004373B1"/>
    <w:rsid w:val="004E4670"/>
    <w:rsid w:val="004E7E41"/>
    <w:rsid w:val="0050121C"/>
    <w:rsid w:val="00572592"/>
    <w:rsid w:val="005A3000"/>
    <w:rsid w:val="005C2EBE"/>
    <w:rsid w:val="005C5188"/>
    <w:rsid w:val="00633501"/>
    <w:rsid w:val="006739A0"/>
    <w:rsid w:val="00715C6C"/>
    <w:rsid w:val="007A0C14"/>
    <w:rsid w:val="007C2EB1"/>
    <w:rsid w:val="007D3888"/>
    <w:rsid w:val="007E2949"/>
    <w:rsid w:val="00813F61"/>
    <w:rsid w:val="00873D52"/>
    <w:rsid w:val="00887AA2"/>
    <w:rsid w:val="008D1AD1"/>
    <w:rsid w:val="0092064D"/>
    <w:rsid w:val="00A24F8E"/>
    <w:rsid w:val="00AF56A7"/>
    <w:rsid w:val="00B07FA6"/>
    <w:rsid w:val="00B136AF"/>
    <w:rsid w:val="00B612BF"/>
    <w:rsid w:val="00BA430F"/>
    <w:rsid w:val="00BE27E2"/>
    <w:rsid w:val="00BF4DBF"/>
    <w:rsid w:val="00C329DC"/>
    <w:rsid w:val="00C6645B"/>
    <w:rsid w:val="00C84CA2"/>
    <w:rsid w:val="00CC6A96"/>
    <w:rsid w:val="00CF52F0"/>
    <w:rsid w:val="00D20DE6"/>
    <w:rsid w:val="00D257D9"/>
    <w:rsid w:val="00D52D88"/>
    <w:rsid w:val="00D7592B"/>
    <w:rsid w:val="00D924BE"/>
    <w:rsid w:val="00DD4EC5"/>
    <w:rsid w:val="00DE3C29"/>
    <w:rsid w:val="00DF6986"/>
    <w:rsid w:val="00E36434"/>
    <w:rsid w:val="00F21AC3"/>
    <w:rsid w:val="00F37DB9"/>
    <w:rsid w:val="00FA1E06"/>
    <w:rsid w:val="00FA674B"/>
    <w:rsid w:val="00FC0978"/>
    <w:rsid w:val="00FD0587"/>
    <w:rsid w:val="00FE7455"/>
    <w:rsid w:val="00F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146"/>
    <w:pPr>
      <w:spacing w:after="0" w:line="240" w:lineRule="auto"/>
    </w:pPr>
  </w:style>
  <w:style w:type="table" w:styleId="a4">
    <w:name w:val="Table Grid"/>
    <w:basedOn w:val="a1"/>
    <w:uiPriority w:val="59"/>
    <w:rsid w:val="00E36434"/>
    <w:pPr>
      <w:spacing w:after="0" w:line="240" w:lineRule="auto"/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7E2"/>
  </w:style>
  <w:style w:type="paragraph" w:styleId="a7">
    <w:name w:val="footer"/>
    <w:basedOn w:val="a"/>
    <w:link w:val="a8"/>
    <w:uiPriority w:val="99"/>
    <w:semiHidden/>
    <w:unhideWhenUsed/>
    <w:rsid w:val="00BE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2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A9EC886F81ACEF9441B850676E48F2054B36C7C48407EED53744A490279A14DDD768BA03096B8DFBAC38606045EBCAA8D21AD97BA30F37DI5K" TargetMode="External"/><Relationship Id="rId13" Type="http://schemas.openxmlformats.org/officeDocument/2006/relationships/hyperlink" Target="consultantplus://offline/ref=EFFA9EC886F81ACEF9441B850676E48F205BBC6B7A4A407EED53744A490279A14DDD768BA0309BBDDFBAC38606045EBCAA8D21AD97BA30F37DI5K" TargetMode="External"/><Relationship Id="rId18" Type="http://schemas.openxmlformats.org/officeDocument/2006/relationships/hyperlink" Target="consultantplus://offline/ref=EFFA9EC886F81ACEF9441B850676E48F2054B36C7C48407EED53744A490279A14DDD768BA43099ED89F5C2DA43524DBDA88D23AC8B7BIA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FA9EC886F81ACEF9441B850676E48F2054B36C7C48407EED53744A490279A14DDD768BA0309BBAD8BAC38606045EBCAA8D21AD97BA30F37DI5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FFA9EC886F81ACEF9441B850676E48F205BBC6B7A4A407EED53744A490279A14DDD768BA0309BBDDCBAC38606045EBCAA8D21AD97BA30F37DI5K" TargetMode="External"/><Relationship Id="rId17" Type="http://schemas.openxmlformats.org/officeDocument/2006/relationships/hyperlink" Target="consultantplus://offline/ref=EFFA9EC886F81ACEF9441B850676E48F2054B36C7C48407EED53744A490279A14DDD768BA03097BADABAC38606045EBCAA8D21AD97BA30F37DI5K" TargetMode="External"/><Relationship Id="rId25" Type="http://schemas.openxmlformats.org/officeDocument/2006/relationships/hyperlink" Target="consultantplus://offline/ref=EFFA9EC886F81ACEF9441B850676E48F2054B36C7C48407EED53744A490279A14DDD768BA0309BBDDEBAC38606045EBCAA8D21AD97BA30F37DI5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FA9EC886F81ACEF9441B850676E48F2054B36C7C48407EED53744A490279A14DDD768BA03096BBD8BAC38606045EBCAA8D21AD97BA30F37DI5K" TargetMode="External"/><Relationship Id="rId20" Type="http://schemas.openxmlformats.org/officeDocument/2006/relationships/hyperlink" Target="consultantplus://offline/ref=EFFA9EC886F81ACEF9441B850676E48F2054B36C7C48407EED53744A490279A14DDD768BA03196B0DEBAC38606045EBCAA8D21AD97BA30F37DI5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FA9EC886F81ACEF9441B850676E48F205BBC6B7A4A407EED53744A490279A14DDD768BA73899ED89F5C2DA43524DBDA88D23AC8B7BIAK" TargetMode="External"/><Relationship Id="rId24" Type="http://schemas.openxmlformats.org/officeDocument/2006/relationships/hyperlink" Target="consultantplus://offline/ref=EFFA9EC886F81ACEF9441B850676E48F2054B36C7C48407EED53744A490279A14DDD768BA0309BBADEBAC38606045EBCAA8D21AD97BA30F37DI5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FA9EC886F81ACEF9441B850676E48F205BBC6B7A4A407EED53744A490279A14DDD768BA0309BBFDDBAC38606045EBCAA8D21AD97BA30F37DI5K" TargetMode="External"/><Relationship Id="rId23" Type="http://schemas.openxmlformats.org/officeDocument/2006/relationships/hyperlink" Target="consultantplus://offline/ref=EFFA9EC886F81ACEF9441B850676E48F2054B36C7C48407EED53744A490279A14DDD768DA03499ED89F5C2DA43524DBDA88D23AC8B7BIAK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EFFA9EC886F81ACEF9441B850676E48F205BBC6B7A4A407EED53744A490279A14DDD768BA73499ED89F5C2DA43524DBDA88D23AC8B7BIAK" TargetMode="External"/><Relationship Id="rId19" Type="http://schemas.openxmlformats.org/officeDocument/2006/relationships/hyperlink" Target="consultantplus://offline/ref=EFFA9EC886F81ACEF9441B850676E48F2054B36C7C48407EED53744A490279A14DDD768BA0309BB9D9BAC38606045EBCAA8D21AD97BA30F37DI5K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FA9EC886F81ACEF9441B850676E48F205BBC6B7A4A407EED53744A490279A14DDD768BA0309AB0D1BAC38606045EBCAA8D21AD97BA30F37DI5K" TargetMode="External"/><Relationship Id="rId14" Type="http://schemas.openxmlformats.org/officeDocument/2006/relationships/hyperlink" Target="consultantplus://offline/ref=EFFA9EC886F81ACEF9441B850676E48F205BBC6B7A4A407EED53744A490279A14DDD768BA0309BBFDBBAC38606045EBCAA8D21AD97BA30F37DI5K" TargetMode="External"/><Relationship Id="rId22" Type="http://schemas.openxmlformats.org/officeDocument/2006/relationships/hyperlink" Target="consultantplus://offline/ref=EFFA9EC886F81ACEF9441B850676E48F2054B36C7C48407EED53744A490279A14DDD768CA83699ED89F5C2DA43524DBDA88D23AC8B7BIAK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043E-1A51-4154-BFDC-8FC491AA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Жил.Отд.-Кострецкая А.И.</dc:creator>
  <cp:lastModifiedBy>  </cp:lastModifiedBy>
  <cp:revision>2</cp:revision>
  <cp:lastPrinted>2017-12-01T08:47:00Z</cp:lastPrinted>
  <dcterms:created xsi:type="dcterms:W3CDTF">2022-11-03T08:59:00Z</dcterms:created>
  <dcterms:modified xsi:type="dcterms:W3CDTF">2022-11-03T08:59:00Z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6c887771-bf85-4f47-831b-17297af630f0</vt:lpwstr>
  </property>
</Properties>
</file>