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6" w:rsidRDefault="00F24E46"/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Default="00846B16" w:rsidP="00846B16">
      <w:pPr>
        <w:pStyle w:val="ConsPlusNormal"/>
        <w:spacing w:line="276" w:lineRule="auto"/>
        <w:jc w:val="center"/>
        <w:rPr>
          <w:szCs w:val="24"/>
        </w:rPr>
      </w:pPr>
    </w:p>
    <w:p w:rsidR="00035E20" w:rsidRPr="0098432C" w:rsidRDefault="00035E20" w:rsidP="00846B16">
      <w:pPr>
        <w:pStyle w:val="ConsPlusNormal"/>
        <w:spacing w:line="276" w:lineRule="auto"/>
        <w:jc w:val="center"/>
        <w:rPr>
          <w:szCs w:val="24"/>
        </w:rPr>
      </w:pPr>
    </w:p>
    <w:p w:rsidR="00846B16" w:rsidRPr="00035E20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329"/>
      <w:bookmarkEnd w:id="0"/>
      <w:r w:rsidRPr="00035E20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2C">
        <w:rPr>
          <w:rFonts w:ascii="Times New Roman" w:hAnsi="Times New Roman" w:cs="Times New Roman"/>
          <w:b/>
          <w:sz w:val="28"/>
          <w:szCs w:val="28"/>
          <w:u w:val="single"/>
        </w:rPr>
        <w:t>Воронкова Михаила В</w:t>
      </w:r>
      <w:r w:rsidR="003E26D6">
        <w:rPr>
          <w:rFonts w:ascii="Times New Roman" w:hAnsi="Times New Roman" w:cs="Times New Roman"/>
          <w:b/>
          <w:sz w:val="28"/>
          <w:szCs w:val="28"/>
          <w:u w:val="single"/>
        </w:rPr>
        <w:t>асильевича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(фамилия, имя, отчество главы администрации городского округа)</w:t>
      </w:r>
    </w:p>
    <w:p w:rsidR="00846B16" w:rsidRPr="0098432C" w:rsidRDefault="003E26D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</w:t>
      </w:r>
      <w:r w:rsidR="00846B16" w:rsidRPr="0098432C">
        <w:rPr>
          <w:rFonts w:ascii="Times New Roman" w:hAnsi="Times New Roman" w:cs="Times New Roman"/>
          <w:b/>
          <w:sz w:val="28"/>
          <w:szCs w:val="28"/>
          <w:u w:val="single"/>
        </w:rPr>
        <w:t>Сосновоборского городского округа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846B16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2C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2C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городского округа </w:t>
      </w:r>
    </w:p>
    <w:p w:rsidR="00846B16" w:rsidRPr="0098432C" w:rsidRDefault="00A50DD7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7246DA">
        <w:rPr>
          <w:rFonts w:ascii="Times New Roman" w:hAnsi="Times New Roman" w:cs="Times New Roman"/>
          <w:b/>
          <w:sz w:val="28"/>
          <w:szCs w:val="28"/>
        </w:rPr>
        <w:t>1</w:t>
      </w:r>
      <w:r w:rsidR="00846B16" w:rsidRPr="0098432C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</w:t>
      </w:r>
      <w:proofErr w:type="gramStart"/>
      <w:r w:rsidR="00846B16" w:rsidRPr="0098432C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  <w:r w:rsidR="00846B16" w:rsidRPr="0098432C">
        <w:rPr>
          <w:rFonts w:ascii="Times New Roman" w:hAnsi="Times New Roman" w:cs="Times New Roman"/>
          <w:b/>
          <w:sz w:val="28"/>
          <w:szCs w:val="28"/>
        </w:rPr>
        <w:t xml:space="preserve"> на трехлетний период</w:t>
      </w:r>
    </w:p>
    <w:p w:rsidR="00846B16" w:rsidRPr="0098432C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B16" w:rsidRDefault="00846B16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E20" w:rsidRPr="0098432C" w:rsidRDefault="00035E20" w:rsidP="00846B1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B16" w:rsidRPr="0098432C" w:rsidRDefault="00846B16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6B16" w:rsidRPr="0098432C" w:rsidRDefault="00846B16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32C">
        <w:rPr>
          <w:rFonts w:ascii="Times New Roman" w:hAnsi="Times New Roman" w:cs="Times New Roman"/>
          <w:sz w:val="24"/>
          <w:szCs w:val="24"/>
        </w:rPr>
        <w:t>(подпись)</w:t>
      </w:r>
    </w:p>
    <w:p w:rsidR="00846B16" w:rsidRPr="007246DA" w:rsidRDefault="007246DA" w:rsidP="00846B16">
      <w:pPr>
        <w:pStyle w:val="ConsPlusNonformat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46DA">
        <w:rPr>
          <w:rFonts w:ascii="Times New Roman" w:hAnsi="Times New Roman" w:cs="Times New Roman"/>
          <w:sz w:val="24"/>
          <w:szCs w:val="24"/>
        </w:rPr>
        <w:t xml:space="preserve">28 </w:t>
      </w:r>
      <w:r w:rsidR="00A50DD7" w:rsidRPr="007246DA">
        <w:rPr>
          <w:rFonts w:ascii="Times New Roman" w:hAnsi="Times New Roman" w:cs="Times New Roman"/>
          <w:sz w:val="24"/>
          <w:szCs w:val="24"/>
        </w:rPr>
        <w:t>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6B16" w:rsidRPr="007246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4CD" w:rsidRDefault="002104CD"/>
    <w:p w:rsidR="004C3479" w:rsidRDefault="004C3479"/>
    <w:p w:rsidR="004C3479" w:rsidRPr="00547E1A" w:rsidRDefault="004C3479"/>
    <w:p w:rsidR="004300C3" w:rsidRDefault="004300C3">
      <w:pPr>
        <w:rPr>
          <w:sz w:val="36"/>
          <w:szCs w:val="36"/>
        </w:rPr>
      </w:pPr>
    </w:p>
    <w:p w:rsidR="006E5DC0" w:rsidRDefault="006E5DC0" w:rsidP="006E5DC0">
      <w:pPr>
        <w:pageBreakBefore/>
        <w:jc w:val="center"/>
        <w:rPr>
          <w:rFonts w:eastAsia="Times New Roman"/>
          <w:b/>
          <w:bCs/>
          <w:lang w:eastAsia="ru-RU"/>
        </w:rPr>
        <w:sectPr w:rsidR="006E5DC0" w:rsidSect="00846B16">
          <w:pgSz w:w="11905" w:h="16838" w:code="9"/>
          <w:pgMar w:top="1134" w:right="851" w:bottom="1134" w:left="1304" w:header="0" w:footer="284" w:gutter="0"/>
          <w:cols w:space="708"/>
          <w:titlePg/>
          <w:docGrid w:linePitch="326"/>
        </w:sectPr>
      </w:pPr>
    </w:p>
    <w:p w:rsidR="006E5DC0" w:rsidRDefault="006E5DC0" w:rsidP="006E5DC0">
      <w:pPr>
        <w:pageBreakBefore/>
        <w:jc w:val="center"/>
        <w:rPr>
          <w:rFonts w:eastAsia="Times New Roman"/>
          <w:b/>
          <w:bCs/>
          <w:lang w:eastAsia="ru-RU"/>
        </w:rPr>
      </w:pPr>
      <w:r w:rsidRPr="004C3479">
        <w:rPr>
          <w:rFonts w:eastAsia="Times New Roman"/>
          <w:b/>
          <w:bCs/>
          <w:lang w:eastAsia="ru-RU"/>
        </w:rPr>
        <w:lastRenderedPageBreak/>
        <w:t>I. Показатели эффективности деятельности органов местного самоуправления Сосновоборского городского округа</w:t>
      </w:r>
    </w:p>
    <w:p w:rsidR="006E5DC0" w:rsidRDefault="006E5DC0" w:rsidP="007E6690"/>
    <w:tbl>
      <w:tblPr>
        <w:tblW w:w="15273" w:type="dxa"/>
        <w:tblInd w:w="98" w:type="dxa"/>
        <w:tblLook w:val="04A0"/>
      </w:tblPr>
      <w:tblGrid>
        <w:gridCol w:w="636"/>
        <w:gridCol w:w="3910"/>
        <w:gridCol w:w="1788"/>
        <w:gridCol w:w="1236"/>
        <w:gridCol w:w="1236"/>
        <w:gridCol w:w="1236"/>
        <w:gridCol w:w="1236"/>
        <w:gridCol w:w="1236"/>
        <w:gridCol w:w="1116"/>
        <w:gridCol w:w="1643"/>
      </w:tblGrid>
      <w:tr w:rsidR="007246DA" w:rsidRPr="007246DA" w:rsidTr="007246DA">
        <w:trPr>
          <w:trHeight w:val="72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602805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ssf_cell_comment" o:spid="_x0000_s1026" type="#_x0000_t202" style="position:absolute;left:0;text-align:left;margin-left:0;margin-top:0;width:50pt;height:50pt;z-index:251658240;visibility:hidden">
                  <o:lock v:ext="edit" selection="t"/>
                </v:shape>
              </w:pict>
            </w:r>
            <w:r w:rsidR="007246DA" w:rsidRPr="007246D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lang w:eastAsia="ru-RU"/>
              </w:rPr>
              <w:t>I. Экономическое развитие</w:t>
            </w:r>
          </w:p>
        </w:tc>
      </w:tr>
      <w:tr w:rsidR="007246DA" w:rsidRPr="007246DA" w:rsidTr="007246DA">
        <w:trPr>
          <w:trHeight w:val="79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300,90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280,20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292,80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293,00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293,30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294,00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26,20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80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580707,00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523315,00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221352,00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114932,33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116194,03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84794,03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80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организаций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общем их числе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27,90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37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792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72951,00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76683,00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83354,00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86688,00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90156,00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93762,00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38710,00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40301,00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42030,00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42589,00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44292,56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46064,26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муниципальныx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45035,00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46743,00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49124,00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49777,35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51768,44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53839,18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учителей муниципальныx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44720,90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46684,50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48500,20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49145,25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51111,06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53155,51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44796,32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44543,44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46865,21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46865,21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48739,82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50689,41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38071,00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40249,00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44294,00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46066,00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47909,00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49826,00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II. Дошкольное образование</w:t>
            </w:r>
          </w:p>
        </w:tc>
      </w:tr>
      <w:tr w:rsidR="007246DA" w:rsidRPr="007246DA" w:rsidTr="007246DA">
        <w:trPr>
          <w:trHeight w:val="158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84,80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33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III. Общее и дополнительное образование</w:t>
            </w:r>
          </w:p>
        </w:tc>
      </w:tr>
      <w:tr w:rsidR="007246DA" w:rsidRPr="007246DA" w:rsidTr="007246DA">
        <w:trPr>
          <w:trHeight w:val="237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</w:t>
            </w:r>
            <w:proofErr w:type="spell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предметамм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Исключен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4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8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33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17,34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23,80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12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IV. Культура</w:t>
            </w:r>
          </w:p>
        </w:tc>
      </w:tr>
      <w:tr w:rsidR="007246DA" w:rsidRPr="007246DA" w:rsidTr="007246DA">
        <w:trPr>
          <w:trHeight w:val="804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клубами и учреждений клубного типа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147,00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библиотеками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118,00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парками культуры и отдыха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45,00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8,33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V. Физическая культура и спорт</w:t>
            </w:r>
          </w:p>
        </w:tc>
      </w:tr>
      <w:tr w:rsidR="007246DA" w:rsidRPr="007246DA" w:rsidTr="007246DA">
        <w:trPr>
          <w:trHeight w:val="80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41,70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42,22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55,70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95,30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95,80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96,50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7246DA" w:rsidRPr="007246DA" w:rsidTr="007246DA">
        <w:trPr>
          <w:trHeight w:val="840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22,97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24,03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24,03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введенная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действие за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7246DA">
              <w:rPr>
                <w:rFonts w:eastAsia="Times New Roman"/>
                <w:color w:val="000000"/>
                <w:lang w:eastAsia="ru-RU"/>
              </w:rPr>
              <w:t>етров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124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даты принятия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8652,00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5679,00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5679,00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кв. метров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741,00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741,00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741,00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VII. Жилищно-коммунальное хозяйство</w:t>
            </w:r>
          </w:p>
        </w:tc>
      </w:tr>
      <w:tr w:rsidR="007246DA" w:rsidRPr="007246DA" w:rsidTr="007246DA">
        <w:trPr>
          <w:trHeight w:val="2124"/>
        </w:trPr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98,50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29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водо</w:t>
            </w:r>
            <w:proofErr w:type="spell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инфрастуктуры</w:t>
            </w:r>
            <w:proofErr w:type="spell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</w:t>
            </w:r>
            <w:proofErr w:type="gramEnd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81,80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84,00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5,75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VIII. Организация муниципального управления</w:t>
            </w:r>
          </w:p>
        </w:tc>
      </w:tr>
      <w:tr w:rsidR="007246DA" w:rsidRPr="007246DA" w:rsidTr="007246DA">
        <w:trPr>
          <w:trHeight w:val="212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89,19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78,13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80,35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91,73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89,06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33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33.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41394,36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23782,49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27642,48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14190,09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35600,00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32400,00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86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34.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33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35.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2187,79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2433,31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2661,94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2597,68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2680,41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2786,56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59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36.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=Д</w:t>
            </w:r>
            <w:proofErr w:type="gramEnd"/>
            <w:r w:rsidRPr="007246DA">
              <w:rPr>
                <w:rFonts w:eastAsia="Times New Roman"/>
                <w:color w:val="000000"/>
                <w:lang w:eastAsia="ru-RU"/>
              </w:rPr>
              <w:t>а / 0=Нет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lastRenderedPageBreak/>
              <w:t>37.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 xml:space="preserve">процент от числа 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опрошенных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83,00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67,00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7246DA" w:rsidRPr="007246DA" w:rsidTr="007246DA">
        <w:trPr>
          <w:trHeight w:val="804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39.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684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кВт/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7246DA">
              <w:rPr>
                <w:rFonts w:eastAsia="Times New Roman"/>
                <w:color w:val="000000"/>
                <w:lang w:eastAsia="ru-RU"/>
              </w:rPr>
              <w:t xml:space="preserve"> на 1 проживающего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696,64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725,13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902,44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902,44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902,44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912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тепловая энергия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Гкал на 1 кв. метр общей площади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1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горячая вода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 xml:space="preserve">куб. метров на 1 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проживающего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23,82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23,59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25,77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1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холодная вода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 xml:space="preserve">куб. метров на 1 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проживающего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36,92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38,46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14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 xml:space="preserve">куб. метров на 1 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проживающего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131,10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129,87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133,01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133,01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133,01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133,01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68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40.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684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электрическая энергия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кВт/</w:t>
            </w:r>
            <w:proofErr w:type="gramStart"/>
            <w:r w:rsidRPr="007246DA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  <w:r w:rsidRPr="007246DA">
              <w:rPr>
                <w:rFonts w:eastAsia="Times New Roman"/>
                <w:color w:val="000000"/>
                <w:lang w:eastAsia="ru-RU"/>
              </w:rPr>
              <w:t xml:space="preserve"> на 1 человека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61,05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55,92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52,90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912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тепловая энергия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Гкал на 1 кв. метр общей площади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горячая вода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080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холодная вода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1155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4764"/>
        </w:trPr>
        <w:tc>
          <w:tcPr>
            <w:tcW w:w="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41.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сфере культуры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баллы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246DA" w:rsidRPr="007246DA" w:rsidTr="007246DA">
        <w:trPr>
          <w:trHeight w:val="288"/>
        </w:trPr>
        <w:tc>
          <w:tcPr>
            <w:tcW w:w="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6DA" w:rsidRPr="007246DA" w:rsidRDefault="007246DA" w:rsidP="007246DA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246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сфере образования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баллы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85,85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85,85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85,85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86,50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46DA" w:rsidRPr="007246DA" w:rsidRDefault="007246DA" w:rsidP="007246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246D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300C3" w:rsidRDefault="004300C3" w:rsidP="00F260EC"/>
    <w:p w:rsidR="005B2B2D" w:rsidRDefault="005B2B2D" w:rsidP="00F260EC"/>
    <w:p w:rsidR="005B2B2D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5B2B2D" w:rsidSect="007246DA">
          <w:pgSz w:w="16838" w:h="11905" w:orient="landscape" w:code="9"/>
          <w:pgMar w:top="1304" w:right="680" w:bottom="426" w:left="680" w:header="0" w:footer="284" w:gutter="0"/>
          <w:cols w:space="708"/>
          <w:docGrid w:linePitch="326"/>
        </w:sectPr>
      </w:pP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31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ТЕКСТОВАЯ ЧАСТЬ ДОКЛАДА</w:t>
      </w:r>
    </w:p>
    <w:p w:rsidR="005B2B2D" w:rsidRPr="00E827F2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Воронкова Михаила Васильевича</w:t>
      </w:r>
    </w:p>
    <w:p w:rsidR="005B2B2D" w:rsidRPr="00E827F2" w:rsidRDefault="005B2B2D" w:rsidP="005B2B2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главы администрации городского округа)</w:t>
      </w: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главы Сосновоборского городского округа</w:t>
      </w:r>
    </w:p>
    <w:p w:rsidR="005B2B2D" w:rsidRPr="00E827F2" w:rsidRDefault="005B2B2D" w:rsidP="005B2B2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городского округа)</w:t>
      </w:r>
    </w:p>
    <w:p w:rsidR="005B2B2D" w:rsidRPr="00E827F2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достигнутых значениях показателей для оценки эффективности</w:t>
      </w: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 органов местного самоуправления городского округа </w:t>
      </w: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2021 год и их планируемых </w:t>
      </w:r>
      <w:proofErr w:type="gramStart"/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значениях</w:t>
      </w:r>
      <w:proofErr w:type="gramEnd"/>
      <w:r w:rsidRPr="00AF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трехлетний период</w:t>
      </w:r>
    </w:p>
    <w:p w:rsidR="005B2B2D" w:rsidRPr="00AF31C4" w:rsidRDefault="005B2B2D" w:rsidP="005B2B2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B2D" w:rsidRDefault="005B2B2D" w:rsidP="005B2B2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B2D" w:rsidRPr="00E827F2" w:rsidRDefault="005B2B2D" w:rsidP="005B2B2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B2D" w:rsidRPr="00E827F2" w:rsidRDefault="005B2B2D" w:rsidP="005B2B2D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5B2B2D" w:rsidRPr="00E827F2" w:rsidRDefault="005B2B2D" w:rsidP="005B2B2D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</w:p>
    <w:p w:rsidR="005B2B2D" w:rsidRPr="00E827F2" w:rsidRDefault="005B2B2D" w:rsidP="005B2B2D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2022 года</w:t>
      </w:r>
    </w:p>
    <w:p w:rsidR="005B2B2D" w:rsidRPr="00E827F2" w:rsidRDefault="005B2B2D" w:rsidP="005B2B2D">
      <w:pPr>
        <w:pStyle w:val="ConsPlusNormal"/>
        <w:jc w:val="both"/>
        <w:rPr>
          <w:color w:val="000000" w:themeColor="text1"/>
          <w:szCs w:val="24"/>
        </w:rPr>
      </w:pPr>
    </w:p>
    <w:p w:rsidR="005B2B2D" w:rsidRPr="00E827F2" w:rsidRDefault="005B2B2D" w:rsidP="005B2B2D">
      <w:pPr>
        <w:pStyle w:val="ConsPlusNormal"/>
        <w:jc w:val="both"/>
        <w:rPr>
          <w:color w:val="000000" w:themeColor="text1"/>
          <w:szCs w:val="24"/>
        </w:rPr>
      </w:pPr>
    </w:p>
    <w:p w:rsidR="005B2B2D" w:rsidRDefault="005B2B2D" w:rsidP="005B2B2D">
      <w:pPr>
        <w:pStyle w:val="ConsPlusNormal"/>
        <w:jc w:val="both"/>
        <w:rPr>
          <w:color w:val="000000" w:themeColor="text1"/>
          <w:szCs w:val="24"/>
        </w:rPr>
      </w:pPr>
    </w:p>
    <w:p w:rsidR="005B2B2D" w:rsidRDefault="005B2B2D" w:rsidP="005B2B2D">
      <w:pPr>
        <w:pStyle w:val="ConsPlusNormal"/>
        <w:jc w:val="both"/>
        <w:rPr>
          <w:color w:val="000000" w:themeColor="text1"/>
          <w:szCs w:val="24"/>
        </w:rPr>
      </w:pPr>
    </w:p>
    <w:p w:rsidR="005B2B2D" w:rsidRDefault="005B2B2D" w:rsidP="005B2B2D">
      <w:pPr>
        <w:pStyle w:val="ConsPlusNormal"/>
        <w:jc w:val="both"/>
        <w:rPr>
          <w:color w:val="000000" w:themeColor="text1"/>
          <w:szCs w:val="24"/>
        </w:rPr>
      </w:pPr>
    </w:p>
    <w:p w:rsidR="005B2B2D" w:rsidRPr="00E827F2" w:rsidRDefault="005B2B2D" w:rsidP="005B2B2D">
      <w:pPr>
        <w:pStyle w:val="ConsPlusNormal"/>
        <w:jc w:val="center"/>
        <w:rPr>
          <w:b/>
          <w:color w:val="000000" w:themeColor="text1"/>
          <w:szCs w:val="24"/>
        </w:rPr>
      </w:pPr>
      <w:r w:rsidRPr="00E827F2">
        <w:rPr>
          <w:b/>
          <w:color w:val="000000" w:themeColor="text1"/>
          <w:szCs w:val="24"/>
        </w:rPr>
        <w:t xml:space="preserve">Основные сведения о городском округе </w:t>
      </w:r>
    </w:p>
    <w:p w:rsidR="005B2B2D" w:rsidRPr="00E827F2" w:rsidRDefault="005B2B2D" w:rsidP="005B2B2D">
      <w:pPr>
        <w:pStyle w:val="ConsPlusNormal"/>
        <w:jc w:val="center"/>
        <w:rPr>
          <w:b/>
          <w:color w:val="000000" w:themeColor="text1"/>
          <w:szCs w:val="24"/>
        </w:rPr>
      </w:pPr>
      <w:r w:rsidRPr="00E827F2">
        <w:rPr>
          <w:b/>
          <w:color w:val="000000" w:themeColor="text1"/>
          <w:szCs w:val="24"/>
        </w:rPr>
        <w:t xml:space="preserve">и </w:t>
      </w:r>
      <w:proofErr w:type="gramStart"/>
      <w:r w:rsidRPr="00E827F2">
        <w:rPr>
          <w:b/>
          <w:color w:val="000000" w:themeColor="text1"/>
          <w:szCs w:val="24"/>
        </w:rPr>
        <w:t>органах</w:t>
      </w:r>
      <w:proofErr w:type="gramEnd"/>
      <w:r w:rsidRPr="00E827F2">
        <w:rPr>
          <w:b/>
          <w:color w:val="000000" w:themeColor="text1"/>
          <w:szCs w:val="24"/>
        </w:rPr>
        <w:t xml:space="preserve"> местного самоуправления городского округа</w:t>
      </w:r>
    </w:p>
    <w:p w:rsidR="005B2B2D" w:rsidRPr="00E827F2" w:rsidRDefault="005B2B2D" w:rsidP="005B2B2D">
      <w:pPr>
        <w:pStyle w:val="ConsPlusNormal"/>
        <w:jc w:val="center"/>
        <w:rPr>
          <w:b/>
          <w:color w:val="000000" w:themeColor="text1"/>
          <w:szCs w:val="24"/>
        </w:rPr>
      </w:pP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Муниципальное образование Сосновоборский городской округ Ленинградской области образовано (установлены его границы, присвоен соответствующий статус, определен административный центр) областным законом от 15.06.2010 № 32-оз «Об административно-территориальном устройстве Ленинградской области и порядке его изменения».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Административный центр Сосновоборского городского округа – город Сосновый Бор.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Преобразований городского округа, принятых областными законами после 2005 года, не было.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Площадь Сосновоборского городского округа по состоянию на 31 декабря отчетного года – 88,4 кв. км.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Население Сосновоборского городского округа по состоянию на 31 декабря отчетного года – 65,9 тыс. чел., все население городское.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Представительный орган – совет депутатов Сосновоборского городского округа формируется на муниципальных выборах, действующий состав совета депутатов избран 8 сентября 2019 года на 5 лет, число депутатов – 20 человек по Уставу, фактически по состоянию на 31 декабря отчетного года – 19 человек.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 xml:space="preserve">Администрацию Сосновоборского городского округа возглавляет глава округа, </w:t>
      </w:r>
      <w:proofErr w:type="gramStart"/>
      <w:r w:rsidRPr="00E827F2">
        <w:rPr>
          <w:color w:val="000000" w:themeColor="text1"/>
          <w:szCs w:val="24"/>
        </w:rPr>
        <w:t>избираемый</w:t>
      </w:r>
      <w:proofErr w:type="gramEnd"/>
      <w:r w:rsidRPr="00E827F2">
        <w:rPr>
          <w:color w:val="000000" w:themeColor="text1"/>
          <w:szCs w:val="24"/>
        </w:rPr>
        <w:t xml:space="preserve"> из состава депутатов. Действовавший в отчетном году глава округа Воронков Михаил Васильевич избран на заседании совета депутатов округа 19 сентября 2019 года.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proofErr w:type="gramStart"/>
      <w:r w:rsidRPr="00E827F2">
        <w:rPr>
          <w:color w:val="000000" w:themeColor="text1"/>
          <w:szCs w:val="24"/>
        </w:rPr>
        <w:t>Общая численность работников органов местного самоуправления по состоянию на 31 декабря отчетного года (2021 года)  157,35 чел., в том числе замещающих муниципальные должности 2 чел. Общая фактическая численность муниципальных служащих 123 чел., в том числе исполняющих собственные полномочия муниципального образования 111 чел., исполняющих переданные государственные полномочия 12 чел., исполняющих полномочия иных муниципальных образований, переданные соглашениями, нет.</w:t>
      </w:r>
      <w:proofErr w:type="gramEnd"/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Официальное печатное издание для опубликования правовых актов органов местного самоуправления – Сосновоборская городская газета «Маяк».</w:t>
      </w:r>
    </w:p>
    <w:p w:rsidR="005B2B2D" w:rsidRPr="00E827F2" w:rsidRDefault="005B2B2D" w:rsidP="005B2B2D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 xml:space="preserve">Официальный сайт органа местного самоуправления в сети "Интернет": </w:t>
      </w:r>
      <w:hyperlink r:id="rId7" w:history="1">
        <w:r w:rsidRPr="00E827F2">
          <w:rPr>
            <w:rStyle w:val="a3"/>
            <w:color w:val="000000" w:themeColor="text1"/>
            <w:szCs w:val="24"/>
          </w:rPr>
          <w:t>http://www.sbor.ru/</w:t>
        </w:r>
      </w:hyperlink>
      <w:r w:rsidRPr="00E827F2">
        <w:rPr>
          <w:color w:val="000000" w:themeColor="text1"/>
          <w:szCs w:val="24"/>
        </w:rPr>
        <w:t xml:space="preserve">, электронный адрес органа местного самоуправления: </w:t>
      </w:r>
      <w:hyperlink r:id="rId8" w:history="1">
        <w:r w:rsidRPr="00E827F2">
          <w:rPr>
            <w:rStyle w:val="a3"/>
            <w:color w:val="000000" w:themeColor="text1"/>
            <w:szCs w:val="24"/>
          </w:rPr>
          <w:t>admsb@meria.sbor.ru</w:t>
        </w:r>
      </w:hyperlink>
      <w:r w:rsidRPr="00E827F2">
        <w:rPr>
          <w:color w:val="000000" w:themeColor="text1"/>
          <w:szCs w:val="24"/>
        </w:rPr>
        <w:t xml:space="preserve"> </w:t>
      </w:r>
    </w:p>
    <w:p w:rsidR="005B2B2D" w:rsidRPr="00E827F2" w:rsidRDefault="005B2B2D" w:rsidP="005B2B2D">
      <w:pPr>
        <w:pStyle w:val="ConsPlusNormal"/>
        <w:jc w:val="center"/>
        <w:rPr>
          <w:b/>
          <w:color w:val="000000" w:themeColor="text1"/>
          <w:szCs w:val="24"/>
        </w:rPr>
      </w:pPr>
    </w:p>
    <w:p w:rsidR="005B2B2D" w:rsidRPr="00E827F2" w:rsidRDefault="005B2B2D" w:rsidP="005B2B2D">
      <w:pPr>
        <w:pStyle w:val="ConsPlusNormal"/>
        <w:jc w:val="center"/>
        <w:rPr>
          <w:b/>
          <w:color w:val="000000" w:themeColor="text1"/>
          <w:szCs w:val="24"/>
        </w:rPr>
      </w:pPr>
    </w:p>
    <w:p w:rsidR="005B2B2D" w:rsidRPr="00E827F2" w:rsidRDefault="005B2B2D" w:rsidP="005B2B2D">
      <w:pPr>
        <w:pStyle w:val="ConsPlusNormal"/>
        <w:jc w:val="center"/>
        <w:rPr>
          <w:b/>
          <w:szCs w:val="24"/>
        </w:rPr>
      </w:pPr>
      <w:r w:rsidRPr="00E827F2">
        <w:rPr>
          <w:b/>
          <w:szCs w:val="24"/>
        </w:rPr>
        <w:lastRenderedPageBreak/>
        <w:t xml:space="preserve">Состояние муниципального образования в отчетном году, </w:t>
      </w:r>
    </w:p>
    <w:p w:rsidR="005B2B2D" w:rsidRPr="00E827F2" w:rsidRDefault="005B2B2D" w:rsidP="005B2B2D">
      <w:pPr>
        <w:pStyle w:val="ConsPlusNormal"/>
        <w:jc w:val="center"/>
        <w:rPr>
          <w:b/>
          <w:szCs w:val="24"/>
        </w:rPr>
      </w:pPr>
      <w:r w:rsidRPr="00E827F2">
        <w:rPr>
          <w:b/>
          <w:szCs w:val="24"/>
        </w:rPr>
        <w:t xml:space="preserve">динамика развития за два года, предшествующих </w:t>
      </w:r>
      <w:proofErr w:type="gramStart"/>
      <w:r w:rsidRPr="00E827F2">
        <w:rPr>
          <w:b/>
          <w:szCs w:val="24"/>
        </w:rPr>
        <w:t>отчетному</w:t>
      </w:r>
      <w:proofErr w:type="gramEnd"/>
      <w:r w:rsidRPr="00E827F2">
        <w:rPr>
          <w:b/>
          <w:szCs w:val="24"/>
        </w:rPr>
        <w:t xml:space="preserve">, </w:t>
      </w:r>
    </w:p>
    <w:p w:rsidR="005B2B2D" w:rsidRPr="00E827F2" w:rsidRDefault="005B2B2D" w:rsidP="005B2B2D">
      <w:pPr>
        <w:pStyle w:val="ConsPlusNormal"/>
        <w:jc w:val="center"/>
        <w:rPr>
          <w:b/>
          <w:szCs w:val="24"/>
        </w:rPr>
      </w:pPr>
      <w:r w:rsidRPr="00E827F2">
        <w:rPr>
          <w:b/>
          <w:szCs w:val="24"/>
        </w:rPr>
        <w:t>и прогноз на трехлетний период</w:t>
      </w:r>
    </w:p>
    <w:p w:rsidR="005B2B2D" w:rsidRPr="00E827F2" w:rsidRDefault="005B2B2D" w:rsidP="005B2B2D">
      <w:pPr>
        <w:pStyle w:val="ConsPlusNormal"/>
        <w:jc w:val="center"/>
        <w:rPr>
          <w:szCs w:val="24"/>
        </w:rPr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val="en-US" w:eastAsia="ru-RU"/>
        </w:rPr>
        <w:t>I</w:t>
      </w:r>
      <w:r w:rsidRPr="00E827F2">
        <w:rPr>
          <w:rFonts w:eastAsia="Times New Roman"/>
          <w:b/>
          <w:lang w:eastAsia="ru-RU"/>
        </w:rPr>
        <w:t>. Экономическое развитие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eastAsia="ru-RU"/>
        </w:rPr>
        <w:t>Характеристика отрасли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</w:p>
    <w:p w:rsidR="005B2B2D" w:rsidRPr="00E827F2" w:rsidRDefault="005B2B2D" w:rsidP="005B2B2D">
      <w:pPr>
        <w:ind w:firstLine="709"/>
        <w:contextualSpacing/>
        <w:rPr>
          <w:color w:val="000000" w:themeColor="text1"/>
        </w:rPr>
      </w:pPr>
      <w:r w:rsidRPr="00E827F2">
        <w:rPr>
          <w:rFonts w:eastAsia="Calibri"/>
          <w:color w:val="000000" w:themeColor="text1"/>
        </w:rPr>
        <w:t xml:space="preserve">За 2021 год оборот крупных и средних предприятий составил 174 млрд.242 млн. руб., по сравнению с </w:t>
      </w:r>
      <w:proofErr w:type="gramStart"/>
      <w:r w:rsidRPr="00E827F2">
        <w:rPr>
          <w:rFonts w:eastAsia="Calibri"/>
          <w:color w:val="000000" w:themeColor="text1"/>
        </w:rPr>
        <w:t>уровнем,  достигнутым в 2020 году наблюдается</w:t>
      </w:r>
      <w:proofErr w:type="gramEnd"/>
      <w:r w:rsidRPr="00E827F2">
        <w:rPr>
          <w:rFonts w:eastAsia="Calibri"/>
          <w:color w:val="000000" w:themeColor="text1"/>
        </w:rPr>
        <w:t xml:space="preserve"> увеличение на 13,4 %</w:t>
      </w:r>
      <w:r w:rsidRPr="00E827F2">
        <w:rPr>
          <w:color w:val="000000" w:themeColor="text1"/>
        </w:rPr>
        <w:t>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 xml:space="preserve">Динамика объема производства к уровню прошлого года в разрезе отраслей носит разнонаправленный характер. </w:t>
      </w:r>
      <w:proofErr w:type="gramStart"/>
      <w:r w:rsidRPr="00E827F2">
        <w:rPr>
          <w:rFonts w:eastAsia="Calibri"/>
          <w:color w:val="000000" w:themeColor="text1"/>
        </w:rPr>
        <w:t>Снижение отмечено в производстве прочей неметаллической минеральной продукции – на 9,9 %, в производстве готовых металлических изделий – на 23,5 %, в строительстве – на 25,8 %, в торговле оптовой и розничной автотранспортными средствами и мотоциклами и их ремонт – на 33,8 %; увеличение в сферах: в розничной торговле – на 7,1 %, в обеспечении электрической энергией, газом и паром –  на 35,9 %, научные исследования и разработки – в 1,7 раза.</w:t>
      </w:r>
      <w:proofErr w:type="gramEnd"/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В структуре оборота города преобладает энергетика – 61 %, на втором месте строительство – 20,1 %, на третьем месте розничная торговля – 5,5 %, далее: научные исследования и разработки – 4,5 %, обрабатывающие производства – 3,3 %.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rFonts w:eastAsia="Calibri"/>
          <w:bCs/>
          <w:color w:val="000000" w:themeColor="text1"/>
        </w:rPr>
        <w:t xml:space="preserve">Инвестиции </w:t>
      </w:r>
      <w:r w:rsidRPr="00E827F2">
        <w:rPr>
          <w:rFonts w:eastAsia="Calibri"/>
          <w:color w:val="000000" w:themeColor="text1"/>
        </w:rPr>
        <w:t xml:space="preserve">в нефинансовые активы за 2021 год по крупным и средним организациям-инвесторам составили 16,2 млрд. руб., снижение составило 44,5 % к уровню соответствующего периода предыдущего года. 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По общему объему инвестиций Сосновоборский городской округ на протяжении ряда лет занимает лидирующие позиции в области.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 xml:space="preserve">В общем объеме инвестиций преобладают инвестиции в </w:t>
      </w:r>
      <w:r w:rsidRPr="00E827F2">
        <w:rPr>
          <w:rFonts w:eastAsia="Calibri"/>
          <w:bCs/>
          <w:color w:val="000000" w:themeColor="text1"/>
        </w:rPr>
        <w:t>производственные виды</w:t>
      </w:r>
      <w:r w:rsidRPr="00E827F2">
        <w:rPr>
          <w:rFonts w:eastAsia="Calibri"/>
          <w:color w:val="000000" w:themeColor="text1"/>
        </w:rPr>
        <w:t xml:space="preserve"> деятельности (более 82,4 % общего объема инвестиций по округу), из них основной объем составили средства АО «Концерн Росэнергоатом», вложенные в два инвестиционных проекта, реализуемых на территории Сосновоборского городского округа: модернизация действующей Ленинградской атомной станции и строительство замещающих мощностей ЛАЭС.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За отчетный год в городе введено в эксплуатацию 216 индивидуальных жилых домов общей площадью 25,6 тыс. кв. м., в предыдущем году - 129 квартир в многоквартирных жилых домах и 188 индивидуальных жилых домов общей площадью 23,4 тыс. кв. м.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Перспективы привлечения инвестиций на последующий период в первую очередь связаны с продолжением работ на строительстве новых энергоблоков ЛАЭС.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bookmarkStart w:id="1" w:name="_Toc475356648"/>
      <w:proofErr w:type="gramStart"/>
      <w:r w:rsidRPr="00E827F2">
        <w:rPr>
          <w:rFonts w:eastAsia="Calibri"/>
          <w:color w:val="000000" w:themeColor="text1"/>
        </w:rPr>
        <w:t xml:space="preserve"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 средних предприятий, 60 малых организаций, 1 861 микропредприятий (в том числе 544 юридических лица и 1 317 индивидуальных предпринимателей). </w:t>
      </w:r>
      <w:proofErr w:type="gramEnd"/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 году снизился на 2,4 % и составил 290,4 млн. рублей.</w:t>
      </w:r>
    </w:p>
    <w:bookmarkEnd w:id="1"/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Среднесписочная численность работников крупных и средних организаций Сосновоборского городского округа за 2021 год составила 24633 человека, численность сократилась по сравнению с соответствующим периодом предыдущего года на 5,6 %. Кроме того, для работы в этих организациях привлекались на условиях совместительства и по договорам гражданско-правового характера 463 человека.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proofErr w:type="gramStart"/>
      <w:r w:rsidRPr="00E827F2">
        <w:rPr>
          <w:rFonts w:eastAsia="Calibri"/>
          <w:color w:val="000000" w:themeColor="text1"/>
        </w:rPr>
        <w:t>Выросла численность работающих к уровню соответствующего периода предыдущего года в обрабатывающих производствах – на 6,2 % и в торговле оптовой и розничной - на 9,3 %.</w:t>
      </w:r>
      <w:proofErr w:type="gramEnd"/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 xml:space="preserve">Снизилось число работников в обеспечении электрической энергией – на 0,2 %, в области транспортировки и хранения – на 9,5 %, в строительстве – на 24,1 %, в сфере деятельности гостиниц и предприятий общественного питания – на 34,8 %. 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lastRenderedPageBreak/>
        <w:t xml:space="preserve">Среднемесячная номинальная заработная плата работников списочного состава крупных и средних организаций округа за 2021 год выросла на 9,2 % по сравнению с соответствующим периодом предыдущего года и составила 81934 рубля. 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Наибольший рост номинальной заработной платы к предыдущему году произошел в  сфере «деятельность в области архитектуры и инженерно-технического проектирования; технических испытаний, исследований и анализа» – в 1,6 раза.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Снизилась заработная плата в сфере «деятельность в области  здравоохранении и социальных услуг» – на 1,8 %.</w:t>
      </w:r>
    </w:p>
    <w:p w:rsidR="005B2B2D" w:rsidRPr="00E827F2" w:rsidRDefault="005B2B2D" w:rsidP="005B2B2D">
      <w:pPr>
        <w:ind w:firstLine="708"/>
        <w:rPr>
          <w:rFonts w:eastAsia="Calibri"/>
          <w:color w:val="000000" w:themeColor="text1"/>
        </w:rPr>
      </w:pPr>
      <w:r w:rsidRPr="00E827F2">
        <w:rPr>
          <w:rFonts w:eastAsia="Calibri"/>
          <w:color w:val="000000" w:themeColor="text1"/>
        </w:rPr>
        <w:t>По состоянию на 1 января 2022 года по данным статистики просроченная задолженность по заработной плате отсутствует.</w:t>
      </w:r>
    </w:p>
    <w:p w:rsidR="005B2B2D" w:rsidRPr="00E827F2" w:rsidRDefault="005B2B2D" w:rsidP="005B2B2D">
      <w:pPr>
        <w:jc w:val="center"/>
        <w:rPr>
          <w:rFonts w:eastAsia="Times New Roman"/>
          <w:b/>
          <w:bCs/>
          <w:lang w:eastAsia="ru-RU"/>
        </w:rPr>
      </w:pPr>
    </w:p>
    <w:p w:rsidR="005B2B2D" w:rsidRPr="00E827F2" w:rsidRDefault="005B2B2D" w:rsidP="005B2B2D">
      <w:pPr>
        <w:jc w:val="center"/>
        <w:rPr>
          <w:rFonts w:eastAsia="Times New Roman"/>
          <w:b/>
          <w:bCs/>
          <w:lang w:eastAsia="ru-RU"/>
        </w:rPr>
      </w:pPr>
      <w:r w:rsidRPr="00E827F2">
        <w:rPr>
          <w:rFonts w:eastAsia="Times New Roman"/>
          <w:b/>
          <w:bCs/>
          <w:lang w:eastAsia="ru-RU"/>
        </w:rPr>
        <w:t>Показатели</w:t>
      </w:r>
    </w:p>
    <w:p w:rsidR="005B2B2D" w:rsidRPr="00E827F2" w:rsidRDefault="005B2B2D" w:rsidP="005B2B2D">
      <w:pPr>
        <w:jc w:val="center"/>
        <w:rPr>
          <w:rFonts w:eastAsia="Times New Roman"/>
          <w:b/>
          <w:bCs/>
          <w:lang w:eastAsia="ru-RU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Показатель 1. Число субъектов малого и среднего предпринимательства в расчете на 10 тыс. человек населения:</w:t>
      </w:r>
    </w:p>
    <w:p w:rsidR="005B2B2D" w:rsidRPr="00E827F2" w:rsidRDefault="005B2B2D" w:rsidP="005B2B2D">
      <w:pPr>
        <w:ind w:firstLine="708"/>
        <w:rPr>
          <w:rFonts w:eastAsia="Calibri"/>
        </w:rPr>
      </w:pPr>
      <w:r w:rsidRPr="00E827F2">
        <w:rPr>
          <w:rFonts w:eastAsia="Calibri"/>
          <w:color w:val="000000" w:themeColor="text1"/>
        </w:rPr>
        <w:t>По официальной информации, полученной от Федеральной налоговой службы и</w:t>
      </w:r>
      <w:r w:rsidRPr="00E827F2">
        <w:rPr>
          <w:rFonts w:eastAsia="Calibri"/>
        </w:rPr>
        <w:t xml:space="preserve"> Петростата, используемой в расчете, данный показатель составляет 292,8 единиц из числа субъектов малого и среднего предпринимательства на 10 тысяч человек населения округа. Увеличение на 4,5 % в сравнении с аналогичным показателем за 2020 год связано со снижением численности населения округа за счет естественной убыли населения в период пандемии и миграционным оттоком.</w:t>
      </w:r>
    </w:p>
    <w:p w:rsidR="005B2B2D" w:rsidRPr="00E827F2" w:rsidRDefault="005B2B2D" w:rsidP="005B2B2D">
      <w:pPr>
        <w:keepNext/>
        <w:ind w:firstLine="709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Calibri"/>
        </w:rPr>
      </w:pPr>
      <w:r w:rsidRPr="00E827F2">
        <w:rPr>
          <w:rFonts w:eastAsia="Calibri"/>
        </w:rPr>
        <w:t xml:space="preserve">В связи со сложным экономическим положением в стране в целом в 2022 году не ожидается значительного роста показателей, но малый бизнес постарается сохранить себя, «пересмотрев» при этом свою </w:t>
      </w:r>
      <w:proofErr w:type="spellStart"/>
      <w:proofErr w:type="gramStart"/>
      <w:r w:rsidRPr="00E827F2">
        <w:rPr>
          <w:rFonts w:eastAsia="Calibri"/>
        </w:rPr>
        <w:t>хозяйственную-экономическую</w:t>
      </w:r>
      <w:proofErr w:type="spellEnd"/>
      <w:proofErr w:type="gramEnd"/>
      <w:r w:rsidRPr="00E827F2">
        <w:rPr>
          <w:rFonts w:eastAsia="Calibri"/>
        </w:rPr>
        <w:t xml:space="preserve">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B2B2D" w:rsidRPr="00E827F2" w:rsidRDefault="005B2B2D" w:rsidP="005B2B2D">
      <w:pPr>
        <w:ind w:firstLine="708"/>
        <w:rPr>
          <w:rFonts w:eastAsia="Times New Roman"/>
          <w:b/>
          <w:lang w:eastAsia="ru-RU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B2B2D" w:rsidRPr="00E827F2" w:rsidRDefault="005B2B2D" w:rsidP="005B2B2D">
      <w:pPr>
        <w:ind w:firstLine="708"/>
        <w:rPr>
          <w:rFonts w:eastAsia="Calibri"/>
        </w:rPr>
      </w:pPr>
      <w:r w:rsidRPr="00E827F2">
        <w:rPr>
          <w:rFonts w:eastAsia="Calibri"/>
        </w:rPr>
        <w:t>По данным Петростата, используемым в расчете, данный показатель составляет 25,39 %. Значительное увеличение в сравнении с 2020 годом на 13,7 % связано с успешной реализацией информационной кампании, направленной на вовлечение в самозанятость.</w:t>
      </w:r>
    </w:p>
    <w:p w:rsidR="005B2B2D" w:rsidRPr="00E827F2" w:rsidRDefault="005B2B2D" w:rsidP="005B2B2D">
      <w:pPr>
        <w:keepNext/>
        <w:ind w:firstLine="709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Calibri"/>
        </w:rPr>
      </w:pPr>
      <w:r w:rsidRPr="00E827F2">
        <w:rPr>
          <w:rFonts w:eastAsia="Calibri"/>
        </w:rPr>
        <w:t>По прогнозу к концу 2022 года значение данного показателя составит 25,6 %, к концу 2023 года –  25,9 %, к концу 2023 года значение данного показателя составит 26,2 %.</w:t>
      </w:r>
    </w:p>
    <w:p w:rsidR="005B2B2D" w:rsidRPr="00E827F2" w:rsidRDefault="005B2B2D" w:rsidP="005B2B2D">
      <w:pPr>
        <w:rPr>
          <w:rFonts w:eastAsia="Calibri"/>
        </w:rPr>
      </w:pPr>
      <w:r w:rsidRPr="00E827F2">
        <w:rPr>
          <w:rFonts w:eastAsia="Calibri"/>
        </w:rPr>
        <w:t>К концу 2024 года ожидается рост показателя в целом на 3,2 % по отношению к уровню 2021 года.</w:t>
      </w:r>
    </w:p>
    <w:p w:rsidR="005B2B2D" w:rsidRPr="00E827F2" w:rsidRDefault="005B2B2D" w:rsidP="005B2B2D">
      <w:pPr>
        <w:ind w:firstLine="708"/>
        <w:rPr>
          <w:rFonts w:eastAsia="Times New Roman"/>
          <w:color w:val="00B0F0"/>
          <w:lang w:eastAsia="ru-RU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Показатель 3. Объем инвестиций в основной капитал (за исключением бюджетных средств) в расчете на 1 жителя.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Фактическое значение показателя составило: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2020 году – 523315 рублей, или 90,1 % к 2019 году;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2021 году – 221352 рублей, или  42,3 % к 2020 году.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2021 году, как и в предыдущие годы, основным инвестором в округе был филиал АО "Концерн Росэнергоатом" – Ленинградская атомная станция, объем инвестиций, которого составляет около 90 % общего объема инвестиций крупных и средних предприятий округа.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2018-2020 годах на ЛАЭС продолжалось строительство замещающих мощностей – энергоблоков нового поколения взамен выводимых из эксплуатации энергоблоков, отслуживших свой срок. В 2018 году был введен в эксплуатацию первый энергоблок нового поколения, в 2019-2020 годах продолжилось строительство второго энергоблока, который был введен в эксплуатацию в марте 2021 года.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 xml:space="preserve">Снижение значения показателя в 2021 году вызвано завершением строительства первой очереди ЛАЭС-2 (1-й и 2-й энергоблоки нового поколения). </w:t>
      </w:r>
    </w:p>
    <w:p w:rsidR="005B2B2D" w:rsidRPr="00E827F2" w:rsidRDefault="005B2B2D" w:rsidP="005B2B2D">
      <w:pPr>
        <w:keepNext/>
        <w:ind w:firstLine="709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lastRenderedPageBreak/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 xml:space="preserve">Прогнозные значения показателя на 2022-2024 годы рассчитаны исходя из среднегодовой численности населения и прогноза объема инвестиций в основной капитал (за исключением бюджетных средств) по округу. 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 xml:space="preserve">По прогнозу ЛАЭС – крупнейшего инвестора – объем инвестиций на 2022-2024 годы резко снижается по сравнению с предыдущими годами в связи с окончанием строительства первой очереди ЛАЭС-2. Поскольку объем инвестиций ЛАЭС в 2018-2020 годах многократно превосходил инвестиции других инвесторов округа, вместе взятых, резкое снижение инвестиций ЛАЭС не компенсируется ростом объема инвестиций других инвесторов. В связи с этим общий объем инвестиций по округу снижается с 19281 млн. руб. в 2021 году до 5681 млн. руб. в 2024 году.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rFonts w:eastAsia="Times New Roman"/>
          <w:color w:val="000000" w:themeColor="text1"/>
          <w:lang w:eastAsia="ru-RU"/>
        </w:rPr>
        <w:t>Соответственно снижаются значения показателя № 3: в 2021 году – 221352 руб., в 2022 году – 114932 руб., в 2023 году 116194 руб., в 2024 году – 84794 руб. в расчете на 1 жителя.</w:t>
      </w:r>
      <w:r w:rsidRPr="00E827F2">
        <w:rPr>
          <w:color w:val="000000" w:themeColor="text1"/>
        </w:rPr>
        <w:t xml:space="preserve"> 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color w:val="000000" w:themeColor="text1"/>
        </w:rPr>
        <w:t>В настоящее время идет подготовка к строительству второй очереди ЛАЭС-2 (3-й и 4-й энергоблоки), решение о строительстве которой было принято в 2020 году. По мере разворачивания строительства второй очереди объемы инвестиций и значения показателя должны вернуться к прежнему уровню.</w:t>
      </w:r>
    </w:p>
    <w:p w:rsidR="005B2B2D" w:rsidRPr="00E827F2" w:rsidRDefault="005B2B2D" w:rsidP="005B2B2D">
      <w:pPr>
        <w:rPr>
          <w:color w:val="00B0F0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4.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 w:rsidR="005B2B2D" w:rsidRPr="00E827F2" w:rsidRDefault="005B2B2D" w:rsidP="005B2B2D">
      <w:pPr>
        <w:ind w:firstLine="708"/>
        <w:rPr>
          <w:bCs/>
          <w:color w:val="000000" w:themeColor="text1"/>
        </w:rPr>
      </w:pPr>
      <w:r w:rsidRPr="00E827F2">
        <w:rPr>
          <w:color w:val="000000" w:themeColor="text1"/>
        </w:rPr>
        <w:t>Фактическое значение показателя за 2021 год составило 56,3 %, что немного выше уровня 2020 года – 56,1 %. Рост показателя закономерен в связи с передачей земельных участков в собственность граждан и юридических лиц.</w:t>
      </w:r>
    </w:p>
    <w:p w:rsidR="005B2B2D" w:rsidRPr="00E827F2" w:rsidRDefault="005B2B2D" w:rsidP="005B2B2D">
      <w:pPr>
        <w:ind w:firstLine="708"/>
        <w:rPr>
          <w:color w:val="000000" w:themeColor="text1"/>
          <w:u w:val="single"/>
        </w:rPr>
      </w:pPr>
      <w:r w:rsidRPr="00E827F2">
        <w:rPr>
          <w:color w:val="000000" w:themeColor="text1"/>
          <w:u w:val="single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 xml:space="preserve">В 2022-2024 годах значения показателя планируются с ежегодным ростом и составят: </w:t>
      </w:r>
    </w:p>
    <w:p w:rsidR="005B2B2D" w:rsidRPr="00E827F2" w:rsidRDefault="005B2B2D" w:rsidP="005B2B2D">
      <w:pPr>
        <w:ind w:firstLine="708"/>
        <w:rPr>
          <w:bCs/>
          <w:color w:val="000000" w:themeColor="text1"/>
        </w:rPr>
      </w:pPr>
      <w:r w:rsidRPr="00E827F2">
        <w:rPr>
          <w:color w:val="000000" w:themeColor="text1"/>
        </w:rPr>
        <w:t>в 2022 году – 56,4 %, в 2023 году – 56,5 %, в 2024 году – 56,6 %.</w:t>
      </w:r>
    </w:p>
    <w:p w:rsidR="005B2B2D" w:rsidRPr="00E827F2" w:rsidRDefault="005B2B2D" w:rsidP="005B2B2D">
      <w:pPr>
        <w:ind w:firstLine="708"/>
        <w:rPr>
          <w:bCs/>
          <w:color w:val="000000" w:themeColor="text1"/>
        </w:rPr>
      </w:pP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5.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Доля прибыльных сельскохозяйственных </w:t>
      </w:r>
      <w:proofErr w:type="gramStart"/>
      <w:r w:rsidRPr="00E827F2">
        <w:rPr>
          <w:rFonts w:eastAsia="Times New Roman"/>
          <w:b/>
          <w:bCs/>
          <w:color w:val="000000" w:themeColor="text1"/>
          <w:lang w:eastAsia="ru-RU"/>
        </w:rPr>
        <w:t>организаций</w:t>
      </w:r>
      <w:proofErr w:type="gramEnd"/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 в общем их числе</w:t>
      </w:r>
      <w:r w:rsidRPr="00E827F2">
        <w:rPr>
          <w:rFonts w:eastAsia="Times New Roman"/>
          <w:bCs/>
          <w:color w:val="000000" w:themeColor="text1"/>
          <w:lang w:eastAsia="ru-RU"/>
        </w:rPr>
        <w:t>:</w:t>
      </w:r>
    </w:p>
    <w:p w:rsidR="005B2B2D" w:rsidRPr="00E827F2" w:rsidRDefault="005B2B2D" w:rsidP="005B2B2D">
      <w:pPr>
        <w:ind w:firstLine="708"/>
        <w:rPr>
          <w:bCs/>
          <w:color w:val="000000" w:themeColor="text1"/>
        </w:rPr>
      </w:pPr>
      <w:r w:rsidRPr="00E827F2">
        <w:rPr>
          <w:color w:val="000000" w:themeColor="text1"/>
        </w:rPr>
        <w:t xml:space="preserve">Доля прибыльных сельскохозяйственных </w:t>
      </w:r>
      <w:proofErr w:type="gramStart"/>
      <w:r w:rsidRPr="00E827F2">
        <w:rPr>
          <w:color w:val="000000" w:themeColor="text1"/>
        </w:rPr>
        <w:t>организаций</w:t>
      </w:r>
      <w:proofErr w:type="gramEnd"/>
      <w:r w:rsidRPr="00E827F2">
        <w:rPr>
          <w:color w:val="000000" w:themeColor="text1"/>
        </w:rPr>
        <w:t xml:space="preserve"> в общем их числе в 2021 году</w:t>
      </w:r>
      <w:r w:rsidRPr="00E827F2">
        <w:rPr>
          <w:b/>
          <w:color w:val="000000" w:themeColor="text1"/>
        </w:rPr>
        <w:t xml:space="preserve"> </w:t>
      </w:r>
      <w:r w:rsidRPr="00E827F2">
        <w:rPr>
          <w:bCs/>
          <w:color w:val="000000" w:themeColor="text1"/>
        </w:rPr>
        <w:t>составляет 50 %.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 xml:space="preserve">Доля прибыльных сельскохозяйственных </w:t>
      </w:r>
      <w:proofErr w:type="gramStart"/>
      <w:r w:rsidRPr="00E827F2">
        <w:rPr>
          <w:color w:val="000000" w:themeColor="text1"/>
        </w:rPr>
        <w:t>организаций</w:t>
      </w:r>
      <w:proofErr w:type="gramEnd"/>
      <w:r w:rsidRPr="00E827F2">
        <w:rPr>
          <w:color w:val="000000" w:themeColor="text1"/>
        </w:rPr>
        <w:t xml:space="preserve"> в общем их числе в 2022-2024 годах предполагается по 100 % ежегодно.</w:t>
      </w:r>
    </w:p>
    <w:p w:rsidR="005B2B2D" w:rsidRPr="00E827F2" w:rsidRDefault="005B2B2D" w:rsidP="005B2B2D">
      <w:pPr>
        <w:ind w:firstLine="708"/>
        <w:rPr>
          <w:bCs/>
        </w:rPr>
      </w:pPr>
    </w:p>
    <w:p w:rsidR="005B2B2D" w:rsidRPr="007E4EB4" w:rsidRDefault="005B2B2D" w:rsidP="005B2B2D">
      <w:pPr>
        <w:ind w:firstLine="708"/>
        <w:rPr>
          <w:rFonts w:eastAsia="Times New Roman"/>
          <w:bCs/>
          <w:lang w:eastAsia="ru-RU" w:bidi="en-US"/>
        </w:rPr>
      </w:pPr>
      <w:r w:rsidRPr="007E4EB4">
        <w:rPr>
          <w:rFonts w:eastAsia="Times New Roman"/>
          <w:b/>
          <w:bCs/>
          <w:lang w:eastAsia="ru-RU" w:bidi="en-US"/>
        </w:rPr>
        <w:t>Показатель 6.</w:t>
      </w:r>
      <w:r w:rsidRPr="007E4EB4">
        <w:rPr>
          <w:rFonts w:eastAsia="Times New Roman"/>
          <w:bCs/>
          <w:lang w:eastAsia="ru-RU" w:bidi="en-US"/>
        </w:rPr>
        <w:t xml:space="preserve"> </w:t>
      </w:r>
      <w:r w:rsidRPr="007E4EB4">
        <w:rPr>
          <w:rFonts w:eastAsia="Times New Roman"/>
          <w:b/>
          <w:bCs/>
          <w:lang w:eastAsia="ru-RU" w:bidi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7E4EB4">
        <w:rPr>
          <w:rFonts w:eastAsia="Times New Roman"/>
          <w:bCs/>
          <w:lang w:eastAsia="ru-RU" w:bidi="en-US"/>
        </w:rPr>
        <w:t>.</w:t>
      </w:r>
    </w:p>
    <w:p w:rsidR="005B2B2D" w:rsidRPr="007E4EB4" w:rsidRDefault="005B2B2D" w:rsidP="005B2B2D">
      <w:pPr>
        <w:ind w:firstLine="708"/>
        <w:rPr>
          <w:rFonts w:eastAsia="Times New Roman"/>
          <w:lang w:bidi="en-US"/>
        </w:rPr>
      </w:pPr>
      <w:r w:rsidRPr="007E4EB4">
        <w:rPr>
          <w:rFonts w:eastAsia="Times New Roman"/>
          <w:lang w:bidi="en-US"/>
        </w:rPr>
        <w:t>За 2021 год фактическое значение показателя составило 21,84 % (при протяженности дорог 57,7 км), что ниже уровня 2020 года (27,9 %) и 2019 года (37 %) (при протяженности дорог 57,4 км)</w:t>
      </w:r>
    </w:p>
    <w:p w:rsidR="005B2B2D" w:rsidRPr="007E4EB4" w:rsidRDefault="005B2B2D" w:rsidP="005B2B2D">
      <w:pPr>
        <w:ind w:firstLine="708"/>
        <w:rPr>
          <w:rFonts w:eastAsia="Times New Roman"/>
          <w:lang w:bidi="en-US"/>
        </w:rPr>
      </w:pPr>
      <w:r w:rsidRPr="007E4EB4">
        <w:rPr>
          <w:rFonts w:eastAsia="Times New Roman"/>
          <w:lang w:bidi="en-US"/>
        </w:rPr>
        <w:t>Уровень снижения показателя обусловлен тем, что в 2021 году было отремонтировано 8 км автомобильных дорог</w:t>
      </w:r>
    </w:p>
    <w:p w:rsidR="005B2B2D" w:rsidRPr="007E4EB4" w:rsidRDefault="005B2B2D" w:rsidP="005B2B2D">
      <w:pPr>
        <w:ind w:firstLine="708"/>
        <w:rPr>
          <w:rFonts w:eastAsia="Times New Roman"/>
          <w:b/>
          <w:u w:val="single"/>
          <w:lang w:eastAsia="ru-RU"/>
        </w:rPr>
      </w:pPr>
      <w:r w:rsidRPr="007E4EB4">
        <w:rPr>
          <w:rFonts w:eastAsia="Times New Roman"/>
          <w:b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Times New Roman"/>
          <w:b/>
          <w:bCs/>
          <w:lang w:eastAsia="ru-RU" w:bidi="en-US"/>
        </w:rPr>
      </w:pPr>
      <w:r w:rsidRPr="007E4EB4">
        <w:rPr>
          <w:rFonts w:eastAsia="Times New Roman"/>
          <w:lang w:bidi="en-US"/>
        </w:rPr>
        <w:t>Д</w:t>
      </w:r>
      <w:r w:rsidRPr="007E4EB4">
        <w:rPr>
          <w:rFonts w:eastAsia="Times New Roman"/>
          <w:bCs/>
          <w:lang w:eastAsia="ru-RU" w:bidi="en-US"/>
        </w:rPr>
        <w:t>оля протяженности автомобильных дорог общего пользования местного значения, не отвечающих нормативным требованиям, планируется с ежегодным снижением и составит 21% в 2022 году, 20 % в 2022 году и 20 % в 2023 году</w:t>
      </w:r>
      <w:r w:rsidRPr="007E4EB4">
        <w:rPr>
          <w:rFonts w:eastAsia="Times New Roman"/>
          <w:b/>
          <w:bCs/>
          <w:lang w:eastAsia="ru-RU" w:bidi="en-US"/>
        </w:rPr>
        <w:t>.</w:t>
      </w:r>
      <w:r w:rsidRPr="00E827F2">
        <w:rPr>
          <w:rFonts w:eastAsia="Times New Roman"/>
          <w:b/>
          <w:bCs/>
          <w:lang w:eastAsia="ru-RU" w:bidi="en-US"/>
        </w:rPr>
        <w:t xml:space="preserve"> </w:t>
      </w:r>
    </w:p>
    <w:p w:rsidR="005B2B2D" w:rsidRPr="00E827F2" w:rsidRDefault="005B2B2D" w:rsidP="005B2B2D">
      <w:pPr>
        <w:ind w:firstLine="708"/>
        <w:rPr>
          <w:rFonts w:eastAsia="Times New Roman"/>
          <w:lang w:bidi="en-US"/>
        </w:rPr>
      </w:pP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7.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E827F2">
        <w:rPr>
          <w:rFonts w:eastAsia="Times New Roman"/>
          <w:bCs/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bidi="en-US"/>
        </w:rPr>
      </w:pPr>
      <w:r w:rsidRPr="00E827F2">
        <w:rPr>
          <w:rFonts w:eastAsia="Times New Roman"/>
          <w:color w:val="000000" w:themeColor="text1"/>
          <w:lang w:bidi="en-US"/>
        </w:rPr>
        <w:t>Н</w:t>
      </w:r>
      <w:r w:rsidRPr="00E827F2">
        <w:rPr>
          <w:rFonts w:eastAsia="Times New Roman"/>
          <w:bCs/>
          <w:color w:val="000000" w:themeColor="text1"/>
          <w:lang w:bidi="en-US"/>
        </w:rPr>
        <w:t xml:space="preserve">аселенных пунктов, не имеющих регулярного автобусного и (или) железнодорожного сообщения с административным центром городского округа, </w:t>
      </w:r>
      <w:proofErr w:type="gramStart"/>
      <w:r w:rsidRPr="00E827F2">
        <w:rPr>
          <w:rFonts w:eastAsia="Times New Roman"/>
          <w:bCs/>
          <w:color w:val="000000" w:themeColor="text1"/>
          <w:lang w:bidi="en-US"/>
        </w:rPr>
        <w:t>нет и в рассматриваемом периоде не предвидится</w:t>
      </w:r>
      <w:proofErr w:type="gramEnd"/>
      <w:r w:rsidRPr="00E827F2">
        <w:rPr>
          <w:rFonts w:eastAsia="Times New Roman"/>
          <w:bCs/>
          <w:color w:val="000000" w:themeColor="text1"/>
          <w:lang w:bidi="en-US"/>
        </w:rPr>
        <w:t>.</w:t>
      </w:r>
    </w:p>
    <w:p w:rsidR="005B2B2D" w:rsidRPr="00E827F2" w:rsidRDefault="005B2B2D" w:rsidP="005B2B2D">
      <w:pPr>
        <w:ind w:firstLine="708"/>
        <w:rPr>
          <w:rFonts w:eastAsia="Times New Roman"/>
          <w:bCs/>
          <w:lang w:bidi="en-US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lastRenderedPageBreak/>
        <w:t xml:space="preserve">Показатель 8. </w:t>
      </w:r>
      <w:r w:rsidRPr="00E827F2">
        <w:rPr>
          <w:rFonts w:eastAsia="Times New Roman"/>
          <w:b/>
          <w:color w:val="000000" w:themeColor="text1"/>
          <w:lang w:eastAsia="ru-RU"/>
        </w:rPr>
        <w:t>Среднемесячная номинальная начисленная заработная плата работников:</w:t>
      </w:r>
    </w:p>
    <w:p w:rsidR="005B2B2D" w:rsidRPr="00E827F2" w:rsidRDefault="005B2B2D" w:rsidP="005B2B2D">
      <w:pPr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- крупных и средних предприятий и некоммерческих организаций</w:t>
      </w:r>
      <w:r w:rsidRPr="00E827F2">
        <w:rPr>
          <w:rFonts w:eastAsia="Times New Roman"/>
          <w:color w:val="000000" w:themeColor="text1"/>
          <w:lang w:eastAsia="ru-RU"/>
        </w:rPr>
        <w:t>: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2020 году – 76683 руб., ро</w:t>
      </w:r>
      <w:proofErr w:type="gramStart"/>
      <w:r w:rsidRPr="00E827F2">
        <w:rPr>
          <w:rFonts w:eastAsia="Times New Roman"/>
          <w:color w:val="000000" w:themeColor="text1"/>
          <w:lang w:eastAsia="ru-RU"/>
        </w:rPr>
        <w:t>ст к пр</w:t>
      </w:r>
      <w:proofErr w:type="gramEnd"/>
      <w:r w:rsidRPr="00E827F2">
        <w:rPr>
          <w:rFonts w:eastAsia="Times New Roman"/>
          <w:color w:val="000000" w:themeColor="text1"/>
          <w:lang w:eastAsia="ru-RU"/>
        </w:rPr>
        <w:t>едыдущему году – 105,1 %;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2021 году – 83354 руб., ро</w:t>
      </w:r>
      <w:proofErr w:type="gramStart"/>
      <w:r w:rsidRPr="00E827F2">
        <w:rPr>
          <w:rFonts w:eastAsia="Times New Roman"/>
          <w:color w:val="000000" w:themeColor="text1"/>
          <w:lang w:eastAsia="ru-RU"/>
        </w:rPr>
        <w:t>ст к пр</w:t>
      </w:r>
      <w:proofErr w:type="gramEnd"/>
      <w:r w:rsidRPr="00E827F2">
        <w:rPr>
          <w:rFonts w:eastAsia="Times New Roman"/>
          <w:color w:val="000000" w:themeColor="text1"/>
          <w:lang w:eastAsia="ru-RU"/>
        </w:rPr>
        <w:t>едыдущему году – 106,6 %.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Высокий темп роста средней зарплаты по округу в 2020-2021 годах вызван высоким темпом роста зарплаты в строительной отрасли, связанным с выполнением большого объема строительно-монтажных и пуско-наладочных работ на строительстве ЛАЭС-2.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2022 году – 86688 руб., ро</w:t>
      </w:r>
      <w:proofErr w:type="gramStart"/>
      <w:r w:rsidRPr="00E827F2">
        <w:rPr>
          <w:rFonts w:eastAsia="Times New Roman"/>
          <w:color w:val="000000" w:themeColor="text1"/>
          <w:lang w:eastAsia="ru-RU"/>
        </w:rPr>
        <w:t>ст к пр</w:t>
      </w:r>
      <w:proofErr w:type="gramEnd"/>
      <w:r w:rsidRPr="00E827F2">
        <w:rPr>
          <w:rFonts w:eastAsia="Times New Roman"/>
          <w:color w:val="000000" w:themeColor="text1"/>
          <w:lang w:eastAsia="ru-RU"/>
        </w:rPr>
        <w:t>едыдущему году – 104,0 %;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2022 году – 90156 руб., ро</w:t>
      </w:r>
      <w:proofErr w:type="gramStart"/>
      <w:r w:rsidRPr="00E827F2">
        <w:rPr>
          <w:rFonts w:eastAsia="Times New Roman"/>
          <w:color w:val="000000" w:themeColor="text1"/>
          <w:lang w:eastAsia="ru-RU"/>
        </w:rPr>
        <w:t>ст к пр</w:t>
      </w:r>
      <w:proofErr w:type="gramEnd"/>
      <w:r w:rsidRPr="00E827F2">
        <w:rPr>
          <w:rFonts w:eastAsia="Times New Roman"/>
          <w:color w:val="000000" w:themeColor="text1"/>
          <w:lang w:eastAsia="ru-RU"/>
        </w:rPr>
        <w:t>едыдущему году – 104,0  %;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2023 году – 93762 руб., ро</w:t>
      </w:r>
      <w:proofErr w:type="gramStart"/>
      <w:r w:rsidRPr="00E827F2">
        <w:rPr>
          <w:rFonts w:eastAsia="Times New Roman"/>
          <w:color w:val="000000" w:themeColor="text1"/>
          <w:lang w:eastAsia="ru-RU"/>
        </w:rPr>
        <w:t>ст к пр</w:t>
      </w:r>
      <w:proofErr w:type="gramEnd"/>
      <w:r w:rsidRPr="00E827F2">
        <w:rPr>
          <w:rFonts w:eastAsia="Times New Roman"/>
          <w:color w:val="000000" w:themeColor="text1"/>
          <w:lang w:eastAsia="ru-RU"/>
        </w:rPr>
        <w:t>едыдущему году – 104,0 %.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Прогнозируемый уровень средней заработной платы рассчитан по темпам роста, заложенным в прогнозе Сосновоборского городского округа на данный период.</w:t>
      </w:r>
    </w:p>
    <w:p w:rsidR="005B2B2D" w:rsidRPr="00E827F2" w:rsidRDefault="005B2B2D" w:rsidP="005B2B2D">
      <w:pPr>
        <w:ind w:firstLine="708"/>
      </w:pPr>
      <w:r w:rsidRPr="00E827F2">
        <w:t xml:space="preserve">- </w:t>
      </w:r>
      <w:r w:rsidRPr="00E827F2">
        <w:rPr>
          <w:b/>
        </w:rPr>
        <w:t>муниципальных детских дошкольных учреждений</w:t>
      </w:r>
      <w:r w:rsidRPr="00E827F2">
        <w:t xml:space="preserve"> за 2021 год выросла на 4,3%  к 2020 году и составила 42 030,0 руб.;</w:t>
      </w:r>
    </w:p>
    <w:p w:rsidR="005B2B2D" w:rsidRPr="00E827F2" w:rsidRDefault="005B2B2D" w:rsidP="005B2B2D">
      <w:pPr>
        <w:ind w:firstLine="708"/>
      </w:pPr>
      <w:r w:rsidRPr="00E827F2">
        <w:t xml:space="preserve">- </w:t>
      </w:r>
      <w:r w:rsidRPr="00E827F2">
        <w:rPr>
          <w:b/>
        </w:rPr>
        <w:t>муниципальных общеобразовательных учреждений</w:t>
      </w:r>
      <w:r w:rsidRPr="00E827F2">
        <w:t xml:space="preserve"> за 2021 год возросла на 5,1% по сравнению с 2020 годом и достигла 49 124,0  руб.;</w:t>
      </w:r>
    </w:p>
    <w:p w:rsidR="005B2B2D" w:rsidRPr="00E827F2" w:rsidRDefault="005B2B2D" w:rsidP="005B2B2D">
      <w:pPr>
        <w:ind w:firstLine="708"/>
      </w:pPr>
      <w:r w:rsidRPr="00E827F2">
        <w:t xml:space="preserve">- </w:t>
      </w:r>
      <w:r w:rsidRPr="00E827F2">
        <w:rPr>
          <w:b/>
        </w:rPr>
        <w:t>учителей муниципальных общеобразовательных учреждений</w:t>
      </w:r>
      <w:r w:rsidRPr="00E827F2">
        <w:t xml:space="preserve"> за 2021 год увеличилась на 3,9% по сравнению с 2020 годом и составила 48 500,2 руб.</w:t>
      </w:r>
    </w:p>
    <w:p w:rsidR="005B2B2D" w:rsidRPr="00E827F2" w:rsidRDefault="005B2B2D" w:rsidP="005B2B2D">
      <w:pPr>
        <w:ind w:firstLine="708"/>
        <w:rPr>
          <w:u w:val="single"/>
        </w:rPr>
      </w:pPr>
      <w:r w:rsidRPr="00E827F2">
        <w:rPr>
          <w:u w:val="single"/>
        </w:rPr>
        <w:t>Прогноз на трехлетний период</w:t>
      </w:r>
    </w:p>
    <w:p w:rsidR="005B2B2D" w:rsidRPr="00E827F2" w:rsidRDefault="005B2B2D" w:rsidP="005B2B2D">
      <w:pPr>
        <w:ind w:firstLine="708"/>
      </w:pPr>
      <w:proofErr w:type="gramStart"/>
      <w:r w:rsidRPr="00E827F2">
        <w:t>В соответствии с Указами Президента Российской Федерации № 597 от 07.05.2012 «О мероприятиях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и Программой поэтапного совершенствования системы оплаты труда в государственных (муниципальных) учреждениях, утвержденной  Распоряжением Правительства Российской Федерации № 2190-р от 26.11.2012, составлен</w:t>
      </w:r>
      <w:proofErr w:type="gramEnd"/>
      <w:r w:rsidRPr="00E827F2">
        <w:t xml:space="preserve"> План мероприятий («Дорожная карта») «Изменения в отраслях социальной сферы, направленные на повышение эффективности образования </w:t>
      </w:r>
      <w:proofErr w:type="gramStart"/>
      <w:r w:rsidRPr="00E827F2">
        <w:t>в</w:t>
      </w:r>
      <w:proofErr w:type="gramEnd"/>
      <w:r w:rsidRPr="00E827F2">
        <w:t xml:space="preserve"> </w:t>
      </w:r>
      <w:proofErr w:type="gramStart"/>
      <w:r w:rsidRPr="00E827F2">
        <w:t>Сосновоборском</w:t>
      </w:r>
      <w:proofErr w:type="gramEnd"/>
      <w:r w:rsidRPr="00E827F2">
        <w:t xml:space="preserve"> городском округе», планируется увеличение среднемесячной номинальной начисленной зарплаты работников образовательных учреждений в 2022-2024 годах в среднем на 4% ежегодно.</w:t>
      </w:r>
    </w:p>
    <w:p w:rsidR="005B2B2D" w:rsidRPr="00E827F2" w:rsidRDefault="005B2B2D" w:rsidP="005B2B2D">
      <w:pPr>
        <w:ind w:firstLine="708"/>
        <w:rPr>
          <w:lang w:eastAsia="ru-RU"/>
        </w:rPr>
      </w:pPr>
      <w:r w:rsidRPr="00E827F2">
        <w:rPr>
          <w:b/>
          <w:lang w:eastAsia="ru-RU"/>
        </w:rPr>
        <w:t>- муниципальных учреждений культуры и искусства</w:t>
      </w:r>
      <w:r w:rsidRPr="00E827F2">
        <w:rPr>
          <w:lang w:eastAsia="ru-RU"/>
        </w:rPr>
        <w:t>.</w:t>
      </w:r>
    </w:p>
    <w:p w:rsidR="005B2B2D" w:rsidRPr="00E827F2" w:rsidRDefault="005B2B2D" w:rsidP="005B2B2D">
      <w:pPr>
        <w:ind w:firstLine="708"/>
        <w:rPr>
          <w:lang w:eastAsia="ru-RU"/>
        </w:rPr>
      </w:pPr>
      <w:r w:rsidRPr="00E827F2">
        <w:rPr>
          <w:lang w:eastAsia="ru-RU"/>
        </w:rPr>
        <w:t>Среднемесячная номинальная начисленная заработная плата работников муниципальных учреждений культуры и искусства составила:</w:t>
      </w:r>
    </w:p>
    <w:p w:rsidR="005B2B2D" w:rsidRPr="00E827F2" w:rsidRDefault="005B2B2D" w:rsidP="005B2B2D">
      <w:pPr>
        <w:ind w:firstLine="708"/>
        <w:rPr>
          <w:lang w:eastAsia="ru-RU"/>
        </w:rPr>
      </w:pPr>
      <w:r w:rsidRPr="00E827F2">
        <w:rPr>
          <w:lang w:eastAsia="ru-RU"/>
        </w:rPr>
        <w:t xml:space="preserve">- за 2020 год – </w:t>
      </w:r>
      <w:r w:rsidRPr="00E827F2">
        <w:t xml:space="preserve">44 543,44 </w:t>
      </w:r>
      <w:r w:rsidRPr="00E827F2">
        <w:rPr>
          <w:lang w:eastAsia="ru-RU"/>
        </w:rPr>
        <w:t>руб., или 99,4 % к предыдущему году;</w:t>
      </w:r>
    </w:p>
    <w:p w:rsidR="005B2B2D" w:rsidRPr="00E827F2" w:rsidRDefault="005B2B2D" w:rsidP="005B2B2D">
      <w:pPr>
        <w:ind w:firstLine="708"/>
        <w:rPr>
          <w:lang w:eastAsia="ru-RU"/>
        </w:rPr>
      </w:pPr>
      <w:r w:rsidRPr="00E827F2">
        <w:rPr>
          <w:lang w:eastAsia="ru-RU"/>
        </w:rPr>
        <w:t>- за 2021 год – 46 865,21 руб., или 105,2% к предыдущему году.</w:t>
      </w:r>
    </w:p>
    <w:p w:rsidR="005B2B2D" w:rsidRPr="00E827F2" w:rsidRDefault="005B2B2D" w:rsidP="005B2B2D">
      <w:pPr>
        <w:ind w:firstLine="708"/>
        <w:rPr>
          <w:u w:val="single"/>
          <w:lang w:eastAsia="ru-RU"/>
        </w:rPr>
      </w:pPr>
      <w:r w:rsidRPr="00E827F2">
        <w:rPr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lang w:eastAsia="ru-RU"/>
        </w:rPr>
      </w:pPr>
      <w:r w:rsidRPr="00E827F2">
        <w:rPr>
          <w:lang w:eastAsia="ru-RU"/>
        </w:rPr>
        <w:t>На 2022 год – 46 865,21 рублей.  В 2023-2024 годах планируется увеличение среднемесячной номинальной начисленной заработной платы работников муниципальных учреждений культуры и искусства в среднем на 4 % ежегодно.</w:t>
      </w:r>
    </w:p>
    <w:p w:rsidR="005B2B2D" w:rsidRPr="00E827F2" w:rsidRDefault="005B2B2D" w:rsidP="005B2B2D">
      <w:pPr>
        <w:keepNext/>
        <w:ind w:firstLine="709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- </w:t>
      </w:r>
      <w:proofErr w:type="gramStart"/>
      <w:r w:rsidRPr="00E827F2">
        <w:rPr>
          <w:rFonts w:eastAsia="Times New Roman"/>
          <w:b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/>
          <w:color w:val="000000" w:themeColor="text1"/>
          <w:lang w:eastAsia="ru-RU"/>
        </w:rPr>
        <w:t>униципальных учреждений физической культуры и спорта.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Среднемесячная номинальная начисленная заработная плата работников муниципальных учреждений физической культуры и спорта составила за счет всех источников: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- за 2020 год – 40 249 руб., или 105,72 % к предыдущему году;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- за 2021 год – 44 294 руб., или 110,05 % к предыдущему году.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Прогноз на трехлетний период: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2021-2023 годах планируется увеличение среднемесячной номинальной начисленной заработной платы работников муниципальных учреждений физической культуры и спорта в среднем на 4 % ежегодно за счет средств местного бюджета.</w:t>
      </w:r>
    </w:p>
    <w:p w:rsidR="005B2B2D" w:rsidRPr="00E827F2" w:rsidRDefault="005B2B2D" w:rsidP="005B2B2D">
      <w:pPr>
        <w:ind w:firstLine="709"/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val="en-US" w:eastAsia="ru-RU"/>
        </w:rPr>
        <w:t>II</w:t>
      </w:r>
      <w:r w:rsidRPr="00E827F2">
        <w:rPr>
          <w:rFonts w:eastAsia="Times New Roman"/>
          <w:b/>
          <w:lang w:eastAsia="ru-RU"/>
        </w:rPr>
        <w:t>. Дошкольное образование</w:t>
      </w:r>
    </w:p>
    <w:p w:rsidR="005B2B2D" w:rsidRPr="00E827F2" w:rsidRDefault="005B2B2D" w:rsidP="005B2B2D">
      <w:pPr>
        <w:keepNext/>
        <w:adjustRightInd w:val="0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Х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арактеристика отрасли</w:t>
      </w:r>
    </w:p>
    <w:p w:rsidR="005B2B2D" w:rsidRPr="00E827F2" w:rsidRDefault="005B2B2D" w:rsidP="005B2B2D">
      <w:pPr>
        <w:keepNext/>
        <w:adjustRightInd w:val="0"/>
        <w:jc w:val="center"/>
        <w:rPr>
          <w:rFonts w:eastAsia="Times New Roman"/>
          <w:b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городском округе 14 муниципальных бюджетных дошкольных образовательных учреждений, из которых 3 учреждения – центры развития ребенка. 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 31.12.2021 года в муниципальных бюджетных дошкольных образовательных учреждениях города получают образовательную услугу и услугу по присмотру и уходу  3609 детей, что на 109 детей меньше, чем в 2020 году (3718). Численность детей раннего возраста (от 1 до 3 лет) в муниципальных бюджетных дошкольных образовательных учреждениях  составляет 616 детей (2020 год – 749 детей), численность детей в возрасте от 3 до 7 лет – 2993 ребенка (2020 год – 2969 детей).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Потребности горожан в местах в дошкольных образовательных учреждениях для детей с 3 до 7 лет обеспечены на 99,86%.  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потребность в местах в дошкольных образовательных учреждениях продолжила снижаться.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 году планируется ввод в эксплуатацию нового детского сада на 240 мест с  бассейном.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Показатели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Показатель 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детей в возрасте 1-6 лет, получающих образовательную услугу и услугу по присмотру и уходу, в 2021 году составила 87,13%, что соответствует уровню 2020 года (87,12%).  По сравнению с 2020 годом в муниципальных бюджетных дошкольных образовательных учреждениях произошло снижение численности детей. Снижение роста населения в возрасте 1-6 лет в округе не позволяет увеличить охват дошкольным образованием в муниципальных бюджетных дошкольных образовательных учреждениях детей, нуждающихся в данной услуге.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2022-2024 году значение показателя прогнозируется на уровне 2021 года.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Показатель 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детей в возрасте от 1 до 6 лет, стоящих на учете для определения в муниципальные бюджетные дошкольные образовательные учреждения в 2021 году, составила 0,66%, что значительно ниже уровня предыдущего года (3,17%).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 возрасте 3-7 лет обеспечены местами на 99,86%. На учете для предоставления места в детском саду в течение учебного года остается 4 ребенка-инвалида с ОВЗ в возрасте от 3 до 6 лет.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2022-2024 году значение показателя прогнозируется на уровне 2021 года.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одно из 14 дошкольных учреждений не находится в аварийном состоянии. Ежегодно из бюджета города выделяются средства на текущий и капитальный ремонты дошкольных учреждений.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2022-2024 годах планируется сохранить нулевое значение показателя.</w:t>
      </w:r>
    </w:p>
    <w:p w:rsidR="005B2B2D" w:rsidRPr="00E827F2" w:rsidRDefault="005B2B2D" w:rsidP="005B2B2D">
      <w:pPr>
        <w:ind w:firstLine="709"/>
        <w:rPr>
          <w:rFonts w:eastAsia="Times New Roman"/>
        </w:rPr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lang w:val="en-US" w:eastAsia="ru-RU"/>
        </w:rPr>
        <w:t>III</w:t>
      </w:r>
      <w:r w:rsidRPr="00E827F2">
        <w:rPr>
          <w:rFonts w:eastAsia="Times New Roman"/>
          <w:b/>
          <w:color w:val="000000" w:themeColor="text1"/>
          <w:lang w:eastAsia="ru-RU"/>
        </w:rPr>
        <w:t>. Общее и дополнительное образование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Характеристика отрасли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color w:val="000000" w:themeColor="text1"/>
          <w:lang w:eastAsia="ru-RU"/>
        </w:rPr>
      </w:pP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Сосновоборского городского округа располагается </w:t>
      </w: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 общеобразовательных учреждений</w:t>
      </w: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9 муниципальных бюджетных общеобразовательных учреждений (среди них гимназия, лицей, школа с углубленным изучением английского языка) и 1 негосударственное образовательное учреждение.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в общеобразовательных организациях города (подведомственных Комитету образования Сосновоборского городского округа и в АНОО «Сосновоборская частная школа») обучалось 6559 учащихся, что больше на 150 чел. в сравнении с 2020 годом.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первые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 принято 748 человек. В 10 классы принято 340 учащихся.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Сформировано 12 классов для детей с ограниченными возможностями здоровья, в которых обучается 160 человек.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290 из 293 выпускников получили аттестат о среднем общем образовании (численность указана без учета частной школы). Удельный вес численности выпускников 11(12) классов, получивших аттестат о среднем общем образовании, от общего количества выпускников – 99% (2020 г. – 99,7%).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городском округе получено 5 стобалльных результатов (1 по русскому языку, 1 по литературе, 2 по химии и 1 по математике профильного уровня).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городском округе функционируют 7 муниципальных бюджетных учреждения дополнительного образования детей, из них 4 учреждения, подведомственных Комитету образования: Центр развития творчества детей и юношества, Дом детского творчества, Детско-юношеская спортивная школа, Дом детско-юношеского туризма и экскурсий; 1 учреждение относится к отделу по физической культуре и спорту – СКК «Малахит» и 2 Сосновоборские детские школы искусств, подведомственны отделу по развитию культуры и туризма: СДШИ им.О.А. Кипренского и СДШИ «Балтика».  В 2021 году учреждениями дополнительного образования охвачены 7208 обучающихся в возрасте от 5 до 18 лет.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за 2021 год 4 организации дополнительного образования, подведомственные Комитету образования, организовали и провели 184 городских мероприятия, в которых приняли участие 13325 человек и приняли участие в 104 областных, региональных, всероссийских и международных мероприятиях – 2859 участников, призеров и победителей – 421 чел.</w:t>
      </w:r>
    </w:p>
    <w:p w:rsidR="005B2B2D" w:rsidRPr="00CD4A33" w:rsidRDefault="005B2B2D" w:rsidP="005B2B2D">
      <w:pPr>
        <w:pStyle w:val="normal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3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Показатель 12. </w:t>
      </w:r>
      <w:r w:rsidRPr="00CD4A33">
        <w:rPr>
          <w:rFonts w:ascii="Times New Roman" w:eastAsia="Times New Roman" w:hAnsi="Times New Roman" w:cs="Times New Roman"/>
          <w:sz w:val="24"/>
          <w:szCs w:val="24"/>
        </w:rPr>
        <w:t>Исключен.</w:t>
      </w:r>
    </w:p>
    <w:p w:rsidR="005B2B2D" w:rsidRPr="00CD4A33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33">
        <w:rPr>
          <w:rFonts w:ascii="Times New Roman" w:eastAsia="Times New Roman" w:hAnsi="Times New Roman" w:cs="Times New Roman"/>
          <w:b/>
          <w:sz w:val="24"/>
          <w:szCs w:val="24"/>
        </w:rPr>
        <w:t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5B2B2D" w:rsidRPr="00CD4A33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33">
        <w:rPr>
          <w:rFonts w:ascii="Times New Roman" w:eastAsia="Times New Roman" w:hAnsi="Times New Roman" w:cs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в 2021 году составила 1 % (в 2020 году – 0,3 %).</w:t>
      </w:r>
    </w:p>
    <w:p w:rsidR="005B2B2D" w:rsidRPr="00CD4A33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4A33">
        <w:rPr>
          <w:rFonts w:ascii="Times New Roman" w:eastAsia="Times New Roman" w:hAnsi="Times New Roman" w:cs="Times New Roman"/>
          <w:sz w:val="24"/>
          <w:szCs w:val="24"/>
          <w:u w:val="single"/>
        </w:rPr>
        <w:t>Прогноз на трехлетний период</w:t>
      </w:r>
    </w:p>
    <w:p w:rsidR="005B2B2D" w:rsidRPr="00CD4A33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33">
        <w:rPr>
          <w:rFonts w:ascii="Times New Roman" w:eastAsia="Times New Roman" w:hAnsi="Times New Roman" w:cs="Times New Roman"/>
          <w:sz w:val="24"/>
          <w:szCs w:val="24"/>
        </w:rPr>
        <w:t>В 2022-2024 годах планируется нулевое значение показателя.</w:t>
      </w:r>
    </w:p>
    <w:p w:rsidR="005B2B2D" w:rsidRPr="00E827F2" w:rsidRDefault="005B2B2D" w:rsidP="005B2B2D"/>
    <w:p w:rsidR="005B2B2D" w:rsidRPr="00E827F2" w:rsidRDefault="005B2B2D" w:rsidP="005B2B2D">
      <w:pPr>
        <w:ind w:firstLine="697"/>
        <w:rPr>
          <w:rFonts w:eastAsia="Times New Roman"/>
          <w:b/>
          <w:color w:val="000000" w:themeColor="text1"/>
        </w:rPr>
      </w:pPr>
      <w:r w:rsidRPr="00E827F2">
        <w:rPr>
          <w:rFonts w:eastAsia="Times New Roman"/>
          <w:color w:val="000000" w:themeColor="text1"/>
        </w:rPr>
        <w:t xml:space="preserve"> </w:t>
      </w:r>
      <w:r w:rsidRPr="00E827F2">
        <w:rPr>
          <w:rFonts w:eastAsia="Times New Roman"/>
          <w:b/>
          <w:color w:val="000000" w:themeColor="text1"/>
        </w:rPr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5B2B2D" w:rsidRPr="00E827F2" w:rsidRDefault="005B2B2D" w:rsidP="005B2B2D">
      <w:pPr>
        <w:ind w:firstLine="697"/>
      </w:pPr>
      <w:r w:rsidRPr="00E827F2"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2021 году составляет 100%.</w:t>
      </w:r>
    </w:p>
    <w:p w:rsidR="005B2B2D" w:rsidRPr="00E827F2" w:rsidRDefault="005B2B2D" w:rsidP="005B2B2D">
      <w:pPr>
        <w:ind w:firstLine="697"/>
        <w:rPr>
          <w:u w:val="single"/>
        </w:rPr>
      </w:pPr>
      <w:r w:rsidRPr="00E827F2">
        <w:rPr>
          <w:u w:val="single"/>
        </w:rPr>
        <w:t>Прогноз на трехлетний период</w:t>
      </w:r>
    </w:p>
    <w:p w:rsidR="005B2B2D" w:rsidRPr="00E827F2" w:rsidRDefault="005B2B2D" w:rsidP="005B2B2D">
      <w:pPr>
        <w:ind w:firstLine="697"/>
      </w:pPr>
      <w:r w:rsidRPr="00E827F2">
        <w:t>В 2022-2024 годах планируется сохранить значение показателя, равное 100%.</w:t>
      </w:r>
    </w:p>
    <w:p w:rsidR="005B2B2D" w:rsidRPr="00E827F2" w:rsidRDefault="005B2B2D" w:rsidP="005B2B2D">
      <w:pPr>
        <w:ind w:firstLine="709"/>
      </w:pP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2021 году составляет 11,0%.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показателя на 2022 год планируется на уровне 11,0%. С 2023 года планируется снизить показатель до 0%.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Показатель 16. Доля детей первой и второй групп здоровья в общей </w:t>
      </w:r>
      <w:proofErr w:type="gramStart"/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численности</w:t>
      </w:r>
      <w:proofErr w:type="gramEnd"/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 муниципальных общеобразовательных учреждениях.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Доля детей I и II групп здоровья в общей </w:t>
      </w:r>
      <w:proofErr w:type="gramStart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численности</w:t>
      </w:r>
      <w:proofErr w:type="gramEnd"/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 в муниципальных  общеобразовательных учреждениях в 2021 году составила 77%, что на 0,9% больше, чем в 2020 </w:t>
      </w: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году. Данный показатель указывает на то, что в общеобразовательных учреждениях города созданы условия для сохранения здоровья детей. Улучшается санитарно-гигиеническое состояние учреждений: освещенность, воздушно-тепловой режим. Изучаются и внедряются в учебный процесс здоровьесберегающие технологии.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2022-2024 годы запланирована небольшая положительная динамика показателя.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Показатель 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численности</w:t>
      </w:r>
      <w:proofErr w:type="gramEnd"/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 муниципальных общеобразовательных учреждениях.</w:t>
      </w:r>
    </w:p>
    <w:p w:rsidR="005B2B2D" w:rsidRPr="00E827F2" w:rsidRDefault="005B2B2D" w:rsidP="005B2B2D">
      <w:pPr>
        <w:ind w:firstLine="697"/>
      </w:pPr>
      <w:proofErr w:type="gramStart"/>
      <w:r w:rsidRPr="00E827F2">
        <w:t>В</w:t>
      </w:r>
      <w:proofErr w:type="gramEnd"/>
      <w:r w:rsidRPr="00E827F2">
        <w:t xml:space="preserve"> </w:t>
      </w:r>
      <w:proofErr w:type="gramStart"/>
      <w:r w:rsidRPr="00E827F2">
        <w:t>Сосновоборском</w:t>
      </w:r>
      <w:proofErr w:type="gramEnd"/>
      <w:r w:rsidRPr="00E827F2">
        <w:t xml:space="preserve"> городском округе все образовательные учреждения работают в одну смену, занимающиеся во II и III смены отсутствуют.</w:t>
      </w:r>
    </w:p>
    <w:p w:rsidR="005B2B2D" w:rsidRPr="00E827F2" w:rsidRDefault="005B2B2D" w:rsidP="005B2B2D">
      <w:pPr>
        <w:ind w:firstLine="697"/>
        <w:rPr>
          <w:u w:val="single"/>
        </w:rPr>
      </w:pPr>
      <w:r w:rsidRPr="00E827F2">
        <w:rPr>
          <w:u w:val="single"/>
        </w:rPr>
        <w:t>Прогноз на трехлетний период</w:t>
      </w:r>
    </w:p>
    <w:p w:rsidR="005B2B2D" w:rsidRPr="00E827F2" w:rsidRDefault="005B2B2D" w:rsidP="005B2B2D">
      <w:pPr>
        <w:ind w:firstLine="697"/>
      </w:pPr>
      <w:r w:rsidRPr="00E827F2">
        <w:t>В 2022-2024 годах планируется сохранить нулевое значение показателя.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5B2B2D" w:rsidRPr="00E827F2" w:rsidRDefault="005B2B2D" w:rsidP="005B2B2D">
      <w:pPr>
        <w:ind w:firstLine="697"/>
        <w:rPr>
          <w:b/>
        </w:rPr>
      </w:pPr>
      <w:r w:rsidRPr="00E827F2">
        <w:rPr>
          <w:b/>
        </w:rPr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 в 2021 году составили 21,18 тыс. руб.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2022-2024 годы планируется положительная динамика данного показателя.</w:t>
      </w:r>
    </w:p>
    <w:p w:rsidR="005B2B2D" w:rsidRPr="00E827F2" w:rsidRDefault="005B2B2D" w:rsidP="005B2B2D">
      <w:pPr>
        <w:ind w:firstLine="709"/>
      </w:pP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Показатель 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доля детей в возрасте 5-18 лет, занимающихся в учреждениях дополнительного образования, составила 80%, что выше уровня 2020 года (77,5%).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2022-2024 годы планируется положительная динамика показателя.</w:t>
      </w:r>
    </w:p>
    <w:p w:rsidR="005B2B2D" w:rsidRPr="00E827F2" w:rsidRDefault="005B2B2D" w:rsidP="005B2B2D">
      <w:pPr>
        <w:ind w:firstLine="709"/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val="en-US" w:eastAsia="ru-RU"/>
        </w:rPr>
        <w:t>IV</w:t>
      </w:r>
      <w:r w:rsidRPr="00E827F2">
        <w:rPr>
          <w:rFonts w:eastAsia="Times New Roman"/>
          <w:b/>
          <w:lang w:eastAsia="ru-RU"/>
        </w:rPr>
        <w:t>. Культура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bidi="en-US"/>
        </w:rPr>
      </w:pPr>
      <w:r w:rsidRPr="00E827F2">
        <w:rPr>
          <w:rFonts w:eastAsia="Times New Roman"/>
          <w:b/>
          <w:lang w:bidi="en-US"/>
        </w:rPr>
        <w:t>Характеристика отрасли</w:t>
      </w:r>
    </w:p>
    <w:p w:rsidR="005B2B2D" w:rsidRPr="00E827F2" w:rsidRDefault="005B2B2D" w:rsidP="005B2B2D">
      <w:pPr>
        <w:keepNext/>
        <w:jc w:val="center"/>
        <w:rPr>
          <w:rFonts w:eastAsia="Times New Roman"/>
          <w:b/>
          <w:caps/>
          <w:lang w:bidi="en-US"/>
        </w:rPr>
      </w:pP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Сеть муниципальных учреждений культуры - 10 учреждений, осталась неизменной, по сравнению с аналогичным периодом прошлого года.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учреждениях культуры работает 15 работников культуры со званием «Заслуженный работник культуры Российской Федерации», 11 имеют нагрудный знак Министерства культуры Российской Федерации, 20 творческих коллективов имеют звание «Народный» и «Образцовый».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Среднесписочная численность работников за 2020 год составила 339,6 человек (статистические данные (форма П-4)), что на 6,8 человек меньше, чем за 2020 год. </w:t>
      </w:r>
    </w:p>
    <w:p w:rsidR="005B2B2D" w:rsidRPr="00E827F2" w:rsidRDefault="005B2B2D" w:rsidP="005B2B2D">
      <w:pPr>
        <w:pStyle w:val="af5"/>
        <w:ind w:firstLine="567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На конец отчетного периода количество клубных формирований составляет 112, что на 2 формирования больше, чем за 2020 год. Число участников клубных формирований - 2109 человек, что на 102 человека больше, чем показатель за 2020 год. За отчётный период учреждениями культуры было проведено 1037  мероприятий, что на 445 мероприятий больше, чем в аналогичном периоде предыдущего года. Увеличение количества обусловлено сложной эпидемиологической обстановкой в 2020 году. Количество обучающихся в школах искусств составляет 967 человек, что больше показателя за 2020 год на 147 человек. Количество читателей в городской публичной библиотеке в отчетном периоде составило 23 143 человека, что на 2 096 человек больше, по сравнению с аналогичным периодом 2020 года. Количество посещений библиотеки составило 81 059, что на 15 630 посещений больше по сравнению с прошлым годом. Увеличение посещений связано с ограничениями из-за распространения коронавирусной инфекции в 2020 году. Количество посещений музея составило 6140 человек, что на 90 человек больше в сравнении с аналогичным периодом 2020 года.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lastRenderedPageBreak/>
        <w:t>В отчетном периоде деятельность учреждений культуры осуществляется в соответствии с муниципальной программой «Развитие культуры Сосновоборского городского округа на 2019-2024 годы», которая включает в себя  пять подпрограмм:</w:t>
      </w:r>
    </w:p>
    <w:p w:rsidR="005B2B2D" w:rsidRPr="00E827F2" w:rsidRDefault="005B2B2D" w:rsidP="005B2B2D">
      <w:pPr>
        <w:pStyle w:val="15"/>
        <w:ind w:firstLine="567"/>
        <w:jc w:val="left"/>
        <w:rPr>
          <w:color w:val="000000" w:themeColor="text1"/>
          <w:sz w:val="24"/>
        </w:rPr>
      </w:pPr>
      <w:r w:rsidRPr="00E827F2">
        <w:rPr>
          <w:color w:val="000000" w:themeColor="text1"/>
          <w:sz w:val="24"/>
        </w:rPr>
        <w:t>1. «Библиотечное обслуживание и популяризация чтения»;</w:t>
      </w:r>
    </w:p>
    <w:p w:rsidR="005B2B2D" w:rsidRPr="00E827F2" w:rsidRDefault="005B2B2D" w:rsidP="005B2B2D">
      <w:pPr>
        <w:pStyle w:val="15"/>
        <w:ind w:firstLine="567"/>
        <w:jc w:val="left"/>
        <w:rPr>
          <w:color w:val="000000" w:themeColor="text1"/>
          <w:sz w:val="24"/>
        </w:rPr>
      </w:pPr>
      <w:r w:rsidRPr="00E827F2">
        <w:rPr>
          <w:color w:val="000000" w:themeColor="text1"/>
          <w:sz w:val="24"/>
        </w:rPr>
        <w:t>2. «Сохранение и охрана культурного и исторического наследия Сосновоборского городского округа»;</w:t>
      </w:r>
    </w:p>
    <w:p w:rsidR="005B2B2D" w:rsidRPr="00E827F2" w:rsidRDefault="005B2B2D" w:rsidP="005B2B2D">
      <w:pPr>
        <w:pStyle w:val="15"/>
        <w:ind w:firstLine="567"/>
        <w:jc w:val="left"/>
        <w:rPr>
          <w:color w:val="000000" w:themeColor="text1"/>
          <w:sz w:val="24"/>
        </w:rPr>
      </w:pPr>
      <w:r w:rsidRPr="00E827F2">
        <w:rPr>
          <w:color w:val="000000" w:themeColor="text1"/>
          <w:sz w:val="24"/>
        </w:rPr>
        <w:t>3. «Музейная деятельность»;</w:t>
      </w:r>
    </w:p>
    <w:p w:rsidR="005B2B2D" w:rsidRPr="00E827F2" w:rsidRDefault="005B2B2D" w:rsidP="005B2B2D">
      <w:pPr>
        <w:pStyle w:val="15"/>
        <w:ind w:firstLine="567"/>
        <w:rPr>
          <w:color w:val="000000" w:themeColor="text1"/>
          <w:sz w:val="24"/>
        </w:rPr>
      </w:pPr>
      <w:r w:rsidRPr="00E827F2">
        <w:rPr>
          <w:color w:val="000000" w:themeColor="text1"/>
          <w:sz w:val="24"/>
        </w:rPr>
        <w:t xml:space="preserve">4. «Профессиональное искусство, народное творчество и </w:t>
      </w:r>
      <w:proofErr w:type="spellStart"/>
      <w:r w:rsidRPr="00E827F2">
        <w:rPr>
          <w:color w:val="000000" w:themeColor="text1"/>
          <w:sz w:val="24"/>
        </w:rPr>
        <w:t>культурно-досуговая</w:t>
      </w:r>
      <w:proofErr w:type="spellEnd"/>
      <w:r w:rsidRPr="00E827F2">
        <w:rPr>
          <w:color w:val="000000" w:themeColor="text1"/>
          <w:sz w:val="24"/>
        </w:rPr>
        <w:t xml:space="preserve"> деятельность»;</w:t>
      </w:r>
    </w:p>
    <w:p w:rsidR="005B2B2D" w:rsidRPr="00E827F2" w:rsidRDefault="005B2B2D" w:rsidP="005B2B2D">
      <w:pPr>
        <w:ind w:firstLine="567"/>
        <w:rPr>
          <w:color w:val="000000" w:themeColor="text1"/>
        </w:rPr>
      </w:pPr>
      <w:r w:rsidRPr="00E827F2">
        <w:rPr>
          <w:color w:val="000000" w:themeColor="text1"/>
        </w:rPr>
        <w:t>5. «Обеспечение реализации муниципальной программы».</w:t>
      </w:r>
    </w:p>
    <w:p w:rsidR="005B2B2D" w:rsidRPr="00E827F2" w:rsidRDefault="005B2B2D" w:rsidP="005B2B2D">
      <w:pPr>
        <w:ind w:firstLine="567"/>
        <w:rPr>
          <w:color w:val="000000" w:themeColor="text1"/>
        </w:rPr>
      </w:pPr>
      <w:r w:rsidRPr="00E827F2">
        <w:rPr>
          <w:color w:val="000000" w:themeColor="text1"/>
        </w:rPr>
        <w:t>Муниципальная программа утверждена постановлением администрации Сосновоборского городского округа от 24.09.2018 года № 2165 (с изменениями).</w:t>
      </w:r>
    </w:p>
    <w:p w:rsidR="005B2B2D" w:rsidRPr="00E827F2" w:rsidRDefault="005B2B2D" w:rsidP="005B2B2D">
      <w:pPr>
        <w:ind w:firstLine="567"/>
        <w:rPr>
          <w:color w:val="000000" w:themeColor="text1"/>
        </w:rPr>
      </w:pPr>
      <w:r w:rsidRPr="00E827F2">
        <w:rPr>
          <w:color w:val="000000" w:themeColor="text1"/>
        </w:rPr>
        <w:t>Продолжается работа по сохранению и развитию творческого потенциала населения, системы художественного образования, совершенствование деятельности библиотек, укрепление материально-технической базы учреждений культуры.</w:t>
      </w:r>
    </w:p>
    <w:p w:rsidR="005B2B2D" w:rsidRPr="00E827F2" w:rsidRDefault="005B2B2D" w:rsidP="005B2B2D">
      <w:pPr>
        <w:pStyle w:val="af4"/>
        <w:ind w:left="0" w:firstLine="567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Для педагогических работников школ искусств  размер средней заработной платы на 2021 год установлен в сумме 49 882 рублей. Установленный </w:t>
      </w:r>
      <w:proofErr w:type="gramStart"/>
      <w:r w:rsidRPr="00E827F2">
        <w:rPr>
          <w:color w:val="000000" w:themeColor="text1"/>
          <w:sz w:val="24"/>
          <w:szCs w:val="24"/>
        </w:rPr>
        <w:t>показатель</w:t>
      </w:r>
      <w:proofErr w:type="gramEnd"/>
      <w:r w:rsidRPr="00E827F2">
        <w:rPr>
          <w:color w:val="000000" w:themeColor="text1"/>
          <w:sz w:val="24"/>
          <w:szCs w:val="24"/>
        </w:rPr>
        <w:t xml:space="preserve"> достигнут учреждениями дополнительного образования в сфере культуры на 100,83 % и составил 50 296 рублей. </w:t>
      </w:r>
    </w:p>
    <w:p w:rsidR="005B2B2D" w:rsidRPr="00E827F2" w:rsidRDefault="005B2B2D" w:rsidP="005B2B2D">
      <w:pPr>
        <w:pStyle w:val="af4"/>
        <w:ind w:left="0" w:firstLine="567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В 2021 году размер среднемесячной заработной платы для работников учреждений культуры установлен  в  размере 46 119,06 рублей. Учреждения культуры в отчетном </w:t>
      </w:r>
      <w:proofErr w:type="gramStart"/>
      <w:r w:rsidRPr="00E827F2">
        <w:rPr>
          <w:color w:val="000000" w:themeColor="text1"/>
          <w:sz w:val="24"/>
          <w:szCs w:val="24"/>
        </w:rPr>
        <w:t>периоде  достигли</w:t>
      </w:r>
      <w:proofErr w:type="gramEnd"/>
      <w:r w:rsidRPr="00E827F2">
        <w:rPr>
          <w:color w:val="000000" w:themeColor="text1"/>
          <w:sz w:val="24"/>
          <w:szCs w:val="24"/>
        </w:rPr>
        <w:t xml:space="preserve"> установленные показатели в полном объеме. Среднемесячная заработная плата учреждений культуры за 2021 год составила 46 865,21 рублей, что составляет 101,62%.  </w:t>
      </w:r>
    </w:p>
    <w:p w:rsidR="005B2B2D" w:rsidRPr="00E827F2" w:rsidRDefault="005B2B2D" w:rsidP="005B2B2D">
      <w:pPr>
        <w:ind w:firstLine="567"/>
        <w:rPr>
          <w:color w:val="000000" w:themeColor="text1"/>
        </w:rPr>
      </w:pPr>
      <w:r w:rsidRPr="00E827F2">
        <w:rPr>
          <w:bCs/>
          <w:color w:val="000000" w:themeColor="text1"/>
        </w:rPr>
        <w:t xml:space="preserve">В отчетном периоде учреждения продолжают работать в соответствии с </w:t>
      </w:r>
      <w:r w:rsidRPr="00E827F2">
        <w:rPr>
          <w:color w:val="000000" w:themeColor="text1"/>
        </w:rPr>
        <w:t>критериями и показателями эффективности и результативности деятельности муниципальных учреждений и их руководителей, в соответствии с Постановлением администрации от 10.10.2013 № 2554 (с изменениями).</w:t>
      </w:r>
    </w:p>
    <w:p w:rsidR="005B2B2D" w:rsidRPr="00E827F2" w:rsidRDefault="005B2B2D" w:rsidP="005B2B2D">
      <w:pPr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Показатели</w:t>
      </w:r>
    </w:p>
    <w:p w:rsidR="005B2B2D" w:rsidRPr="00E827F2" w:rsidRDefault="005B2B2D" w:rsidP="005B2B2D">
      <w:pPr>
        <w:ind w:firstLine="708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20. Уровень фактической обеспеченности учреждениями культуры от нормативной потребности: клубов и учреждений клубного типа, библиотек, парков культуры и отдыха: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клубами и учреждениями клубного типа – 100 % (в 2020 году – 100 %);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библиотеками – 87 % (в 2020 году – 88 %), разница за счет изменения численности жителей и детского населения (4 единицы) сохраняется;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парками культуры и отдыха – 45 % (в 2020 году – 44 %).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Общее количество учреждений данных типов в округе сохраняется.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2022-2024 годах уровень обеспеченности учреждениями культуры от нормативной потребности планируется сохранить на достигнутом уровне.</w:t>
      </w:r>
    </w:p>
    <w:p w:rsidR="005B2B2D" w:rsidRPr="00E827F2" w:rsidRDefault="005B2B2D" w:rsidP="005B2B2D">
      <w:pPr>
        <w:ind w:firstLine="709"/>
        <w:rPr>
          <w:rFonts w:eastAsia="Times New Roman"/>
          <w:bCs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культуры: 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муниципальные учреждений культуры, здания которых находятся в аварийном состоянии или требуют капитального ремонта, отсутствуют.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</w:rPr>
        <w:t xml:space="preserve">В 2022-2023 годах планируется сохранить нулевое значение показателя. </w:t>
      </w:r>
      <w:r w:rsidRPr="00E827F2">
        <w:rPr>
          <w:rFonts w:eastAsia="Times New Roman"/>
          <w:color w:val="000000" w:themeColor="text1"/>
          <w:lang w:eastAsia="ru-RU"/>
        </w:rPr>
        <w:t>В 2024 году планируется капитальный ремонт МАУК «ДК «Строитель».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Все объекты культурного наследия, находящиеся на территории Сосновоборского городского округа, относятся к объектам культурного наследия регионального значения; объектов, находящихся в муниципальной собственности, нет. Имеются лишь выявленные объекты культурного наследия, которые пока не включены в реестр культурного наследия.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lastRenderedPageBreak/>
        <w:t>В 2022-2024 годах объектов культурного наследия, находящихся в муниципальной собственности и требующих консервации или реставрации, не предвидится.</w:t>
      </w:r>
    </w:p>
    <w:p w:rsidR="005B2B2D" w:rsidRPr="00E827F2" w:rsidRDefault="005B2B2D" w:rsidP="005B2B2D">
      <w:pPr>
        <w:jc w:val="center"/>
        <w:rPr>
          <w:rFonts w:eastAsia="Times New Roman"/>
          <w:b/>
          <w:lang w:bidi="en-US"/>
        </w:rPr>
      </w:pPr>
    </w:p>
    <w:p w:rsidR="005B2B2D" w:rsidRPr="00E827F2" w:rsidRDefault="005B2B2D" w:rsidP="005B2B2D">
      <w:pPr>
        <w:jc w:val="center"/>
        <w:rPr>
          <w:rFonts w:eastAsia="Times New Roman"/>
          <w:b/>
          <w:lang w:bidi="en-US"/>
        </w:rPr>
      </w:pPr>
      <w:r w:rsidRPr="00E827F2">
        <w:rPr>
          <w:rFonts w:eastAsia="Times New Roman"/>
          <w:b/>
          <w:lang w:val="en-US" w:bidi="en-US"/>
        </w:rPr>
        <w:t>V</w:t>
      </w:r>
      <w:r w:rsidRPr="00E827F2">
        <w:rPr>
          <w:rFonts w:eastAsia="Times New Roman"/>
          <w:b/>
          <w:lang w:bidi="en-US"/>
        </w:rPr>
        <w:t>. Физическая культура и спорт</w:t>
      </w:r>
    </w:p>
    <w:p w:rsidR="005B2B2D" w:rsidRPr="00E827F2" w:rsidRDefault="005B2B2D" w:rsidP="005B2B2D">
      <w:pPr>
        <w:jc w:val="center"/>
        <w:rPr>
          <w:rFonts w:eastAsia="Times New Roman"/>
          <w:b/>
          <w:lang w:bidi="en-US"/>
        </w:rPr>
      </w:pPr>
      <w:r w:rsidRPr="00E827F2">
        <w:rPr>
          <w:rFonts w:eastAsia="Times New Roman"/>
          <w:b/>
          <w:lang w:bidi="en-US"/>
        </w:rPr>
        <w:t>Характеристика отрасли</w:t>
      </w:r>
    </w:p>
    <w:p w:rsidR="005B2B2D" w:rsidRPr="00E827F2" w:rsidRDefault="005B2B2D" w:rsidP="005B2B2D">
      <w:pPr>
        <w:jc w:val="center"/>
        <w:rPr>
          <w:rFonts w:eastAsia="Times New Roman"/>
          <w:b/>
          <w:lang w:bidi="en-US"/>
        </w:rPr>
      </w:pP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В настоящее время на территории Сосновоборского городского округа функционирует 201 спортивный объект с единовременной пропускной способностью 4201 человек.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объекты входят: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- 5 спортивных комплексов общей площадью 40434,7 кв. м;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- 37 спортивных залов общей площадью 10 942 кв. м;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- 51 плоскостное спортивное сооружение общей площадью 62 404 кв. м;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- 2 </w:t>
      </w:r>
      <w:proofErr w:type="gramStart"/>
      <w:r w:rsidRPr="00E827F2">
        <w:rPr>
          <w:color w:val="000000" w:themeColor="text1"/>
        </w:rPr>
        <w:t>плавательных</w:t>
      </w:r>
      <w:proofErr w:type="gramEnd"/>
      <w:r w:rsidRPr="00E827F2">
        <w:rPr>
          <w:color w:val="000000" w:themeColor="text1"/>
        </w:rPr>
        <w:t xml:space="preserve"> бассейна общей площадью 335 кв. м;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- 1 лыжная база;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- 5 сооружений для стрелковых видов спорта;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- 36 других спортивных сооружений.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proofErr w:type="gramStart"/>
      <w:r w:rsidRPr="00E827F2">
        <w:rPr>
          <w:color w:val="000000" w:themeColor="text1"/>
        </w:rPr>
        <w:t>Реализацией задач по развитию в округе массовой физической культуры и спорта занимаются два учреждения подведомственные Комитету образования администрации Сосновоборского городского округа: муниципальное бюджетное образовательное учреждение дополнительного образования «Детско-юношеская спортивная школа» и муниципальное бюджетное образовательное учреждение дополнительного образования «Дом детского туризма и экскурсий «</w:t>
      </w:r>
      <w:proofErr w:type="spellStart"/>
      <w:r w:rsidRPr="00E827F2">
        <w:rPr>
          <w:color w:val="000000" w:themeColor="text1"/>
        </w:rPr>
        <w:t>Ювента</w:t>
      </w:r>
      <w:proofErr w:type="spellEnd"/>
      <w:r w:rsidRPr="00E827F2">
        <w:rPr>
          <w:color w:val="000000" w:themeColor="text1"/>
        </w:rPr>
        <w:t>»,  также реализация аналогичных задач осуществляется отделом по физической культуре и спорту администрации Сосновоборского городского округа и подведомственным</w:t>
      </w:r>
      <w:proofErr w:type="gramEnd"/>
      <w:r w:rsidRPr="00E827F2">
        <w:rPr>
          <w:color w:val="000000" w:themeColor="text1"/>
        </w:rPr>
        <w:t xml:space="preserve"> учреждением:  муниципальное автономное образовательное учреждение дополнительного образования Спортивно-культурный комплекс «Малахит».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На территории округа развивается более 50 видов спорта. Численность занимающихся составляет 26229 человек, 6952 женщины, учащиеся и </w:t>
      </w:r>
      <w:proofErr w:type="gramStart"/>
      <w:r w:rsidRPr="00E827F2">
        <w:rPr>
          <w:color w:val="000000" w:themeColor="text1"/>
        </w:rPr>
        <w:t>студенты</w:t>
      </w:r>
      <w:proofErr w:type="gramEnd"/>
      <w:r w:rsidRPr="00E827F2">
        <w:rPr>
          <w:color w:val="000000" w:themeColor="text1"/>
        </w:rPr>
        <w:t xml:space="preserve"> посещающие занятия по физической культуре в </w:t>
      </w:r>
      <w:proofErr w:type="spellStart"/>
      <w:r w:rsidRPr="00E827F2">
        <w:rPr>
          <w:color w:val="000000" w:themeColor="text1"/>
        </w:rPr>
        <w:t>спецмедгруппе</w:t>
      </w:r>
      <w:proofErr w:type="spellEnd"/>
      <w:r w:rsidRPr="00E827F2">
        <w:rPr>
          <w:color w:val="000000" w:themeColor="text1"/>
        </w:rPr>
        <w:t xml:space="preserve"> – 962 человека. Численность занимающихся в спортивных учреждениях дополнительного образования составляет 2545 человек.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В течение 2021 года проведено 151 спортивно-массовое мероприятие, в том числе: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обеспечение участия в официальных физкультурных мероприятиях – 38;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проведение занятий по месту проживания граждан на территории МО – 71;</w:t>
      </w:r>
    </w:p>
    <w:p w:rsidR="005B2B2D" w:rsidRPr="00E827F2" w:rsidRDefault="005B2B2D" w:rsidP="005B2B2D">
      <w:pPr>
        <w:shd w:val="clear" w:color="auto" w:fill="FFFFFF"/>
        <w:spacing w:after="120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организация и проведение официальных спортивных мероприятий – 42.</w:t>
      </w:r>
    </w:p>
    <w:p w:rsidR="005B2B2D" w:rsidRPr="00E827F2" w:rsidRDefault="005B2B2D" w:rsidP="005B2B2D">
      <w:pPr>
        <w:pStyle w:val="af4"/>
        <w:ind w:left="0" w:firstLine="709"/>
        <w:rPr>
          <w:color w:val="00B0F0"/>
          <w:sz w:val="24"/>
          <w:szCs w:val="24"/>
        </w:rPr>
      </w:pPr>
    </w:p>
    <w:p w:rsidR="005B2B2D" w:rsidRPr="00E827F2" w:rsidRDefault="005B2B2D" w:rsidP="005B2B2D">
      <w:pPr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Показатели</w:t>
      </w: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23. Доля населения, систематически занимающегося физической культурой и спортом.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Доля населения систематически занимающегося физической культурой и спортом в 2021 году увеличилась на 0,52%  по сравнению с 2020 годом и составила 42,22 %.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Прогноз на трехлетний период:</w:t>
      </w:r>
    </w:p>
    <w:p w:rsidR="005B2B2D" w:rsidRPr="00E827F2" w:rsidRDefault="005B2B2D" w:rsidP="005B2B2D">
      <w:pPr>
        <w:shd w:val="clear" w:color="auto" w:fill="FFFFFF"/>
        <w:spacing w:after="120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2022-2024 годах долю населения, систематически занимающегося физической культурой и спортом, планируется довести до 55,7 %.</w:t>
      </w:r>
    </w:p>
    <w:p w:rsidR="005B2B2D" w:rsidRPr="00E827F2" w:rsidRDefault="005B2B2D" w:rsidP="005B2B2D">
      <w:pPr>
        <w:ind w:firstLine="709"/>
        <w:rPr>
          <w:rFonts w:eastAsia="Times New Roman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23.1. Доля </w:t>
      </w:r>
      <w:proofErr w:type="gramStart"/>
      <w:r w:rsidRPr="00E827F2">
        <w:rPr>
          <w:rFonts w:eastAsia="Times New Roman"/>
          <w:b/>
          <w:bCs/>
          <w:color w:val="000000" w:themeColor="text1"/>
          <w:lang w:eastAsia="ru-RU"/>
        </w:rPr>
        <w:t>обучающихся</w:t>
      </w:r>
      <w:proofErr w:type="gramEnd"/>
      <w:r w:rsidRPr="00E827F2">
        <w:rPr>
          <w:rFonts w:eastAsia="Times New Roman"/>
          <w:b/>
          <w:bCs/>
          <w:color w:val="000000" w:themeColor="text1"/>
          <w:lang w:eastAsia="ru-RU"/>
        </w:rPr>
        <w:t>, систематически занимающихся физической культурой и спортом, в общей численности обучающихся.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E827F2">
        <w:rPr>
          <w:color w:val="000000" w:themeColor="text1"/>
        </w:rPr>
        <w:t>численности</w:t>
      </w:r>
      <w:proofErr w:type="gramEnd"/>
      <w:r w:rsidRPr="00E827F2">
        <w:rPr>
          <w:color w:val="000000" w:themeColor="text1"/>
        </w:rPr>
        <w:t xml:space="preserve"> обучающихся в 2021 году увеличилась на 0,2% по сравнению с 2020 годом и составила  96 %. 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Прогноз на трехлетний период:</w:t>
      </w:r>
    </w:p>
    <w:p w:rsidR="005B2B2D" w:rsidRPr="00E827F2" w:rsidRDefault="005B2B2D" w:rsidP="005B2B2D">
      <w:pPr>
        <w:shd w:val="clear" w:color="auto" w:fill="FFFFFF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2022-2024 годах долю обучающихся, систематически занимающихся физической культурой и спортом, планируется обеспечить на уровне не ниже 96,5 %.</w:t>
      </w:r>
    </w:p>
    <w:p w:rsidR="005B2B2D" w:rsidRPr="00E827F2" w:rsidRDefault="005B2B2D" w:rsidP="005B2B2D">
      <w:pPr>
        <w:ind w:firstLine="709"/>
        <w:rPr>
          <w:rFonts w:eastAsia="Times New Roman"/>
          <w:color w:val="00B0F0"/>
        </w:rPr>
      </w:pPr>
    </w:p>
    <w:p w:rsidR="005B2B2D" w:rsidRPr="00E827F2" w:rsidRDefault="005B2B2D" w:rsidP="005B2B2D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val="en-US" w:eastAsia="ru-RU"/>
        </w:rPr>
        <w:t>VI</w:t>
      </w:r>
      <w:r w:rsidRPr="00E827F2">
        <w:rPr>
          <w:rFonts w:eastAsia="Times New Roman"/>
          <w:b/>
          <w:color w:val="000000" w:themeColor="text1"/>
          <w:lang w:eastAsia="ru-RU"/>
        </w:rPr>
        <w:t>. Жилищное строительство и обеспечение граждан жильем</w:t>
      </w:r>
    </w:p>
    <w:p w:rsidR="005B2B2D" w:rsidRPr="00E827F2" w:rsidRDefault="005B2B2D" w:rsidP="005B2B2D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Характеристика отрасли</w:t>
      </w:r>
    </w:p>
    <w:p w:rsidR="005B2B2D" w:rsidRPr="00E827F2" w:rsidRDefault="005B2B2D" w:rsidP="005B2B2D">
      <w:pPr>
        <w:jc w:val="center"/>
        <w:rPr>
          <w:rFonts w:eastAsia="Times New Roman"/>
          <w:b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lastRenderedPageBreak/>
        <w:t>За отчетный год в городе введены в эксплуатацию индивидуальные жилые дома общей площадью 25,634 тыс. кв. м, в предыдущем году введено жильё общей площадью 37,55 тыс. кв. м, в том числе индивидуальные жилые дома общей площадью 31,425 тыс. кв. м.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Средняя обеспеченность общей площадью на одного жителя Сосновоборского городского округа на 01.01.2022 составила 23,67 кв. м. (на 01.01.2021 – 22,97 кв. м.).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На 01.01.2022 на учете в качестве нуждающихся в жилых помещениях, предоставляемых по договорам социального найма, состоят 422 семьи, в том числе льготной категории граждан - 131 семья.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За 2021 год: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принято на учет в качестве нуждающихся в жилых помещениях, предоставляемых по договорам социального найма- 0 семей;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</w:t>
      </w:r>
      <w:proofErr w:type="gramStart"/>
      <w:r w:rsidRPr="00E827F2">
        <w:rPr>
          <w:color w:val="000000" w:themeColor="text1"/>
        </w:rPr>
        <w:t>сняты</w:t>
      </w:r>
      <w:proofErr w:type="gramEnd"/>
      <w:r w:rsidRPr="00E827F2">
        <w:rPr>
          <w:color w:val="000000" w:themeColor="text1"/>
        </w:rPr>
        <w:t xml:space="preserve"> с учета- 19 семей;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признаны нуждающимися в улучшении жилищных условий (без принятия на учет) в целях участия в жилищных программах- 27 семей.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рамках реализации государственных и областных жилищных программ, влияющих на достижение целей национального проекта «Жилье и городская среда»:</w:t>
      </w:r>
    </w:p>
    <w:p w:rsidR="005B2B2D" w:rsidRPr="00E827F2" w:rsidRDefault="005B2B2D" w:rsidP="005B2B2D">
      <w:pPr>
        <w:pStyle w:val="27"/>
        <w:widowControl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государственный жилищный сертификат предоставлен 1 семье переселенца из зоны аварии на ЧАЭС,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Семья приобрела двухкомнатную квартиру общей площадью 43,5 кв.м.</w:t>
      </w:r>
    </w:p>
    <w:p w:rsidR="005B2B2D" w:rsidRPr="00E827F2" w:rsidRDefault="005B2B2D" w:rsidP="005B2B2D">
      <w:pPr>
        <w:pStyle w:val="af4"/>
        <w:numPr>
          <w:ilvl w:val="0"/>
          <w:numId w:val="18"/>
        </w:numPr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В 2021 году 1 молодая семья - участник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стала претендентом на получение средств социальной выплаты.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Семья направила средства социальной выплаты на погашение основной суммы долга и уплату процентов по ипотечному жилищному кредиту на приобретение двухкомнатной квартиры, общей площадью 48,2 кв.м. 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Показатели</w:t>
      </w:r>
    </w:p>
    <w:p w:rsidR="005B2B2D" w:rsidRPr="00E827F2" w:rsidRDefault="005B2B2D" w:rsidP="005B2B2D">
      <w:pPr>
        <w:ind w:firstLine="567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Показатель 24. Общая площадь жилых помещений, приходящаяся в среднем на одного жителя – всего, </w:t>
      </w:r>
    </w:p>
    <w:p w:rsidR="005B2B2D" w:rsidRPr="00E827F2" w:rsidRDefault="005B2B2D" w:rsidP="005B2B2D">
      <w:pPr>
        <w:ind w:firstLine="567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в том числе </w:t>
      </w:r>
      <w:proofErr w:type="gramStart"/>
      <w:r w:rsidRPr="00E827F2">
        <w:rPr>
          <w:rFonts w:eastAsia="Times New Roman"/>
          <w:b/>
          <w:color w:val="000000" w:themeColor="text1"/>
          <w:lang w:eastAsia="ru-RU"/>
        </w:rPr>
        <w:t>введенная</w:t>
      </w:r>
      <w:proofErr w:type="gramEnd"/>
      <w:r w:rsidRPr="00E827F2">
        <w:rPr>
          <w:rFonts w:eastAsia="Times New Roman"/>
          <w:b/>
          <w:color w:val="000000" w:themeColor="text1"/>
          <w:lang w:eastAsia="ru-RU"/>
        </w:rPr>
        <w:t xml:space="preserve"> в действие за один год.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Средняя обеспеченность общей площадью на одного жителя Сосновоборского городского округа в 2021 году увеличилась по сравнению с 2020 годом за счёт убыли населения и строительства индивидуальных жилых домов, и составила 23,67 кв. м. (в 2020 году – 22,97 кв. м.).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том числе площадь жилых помещений, введённая в действие за 2021 год – 0,38 кв.м., несколько меньше, чем за 2020 год (0,56 кв. м).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Общая площадь жилых помещений, приходящаяся в среднем на одного жителя, с учетом планируемого ввода жилья составит: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proofErr w:type="gramStart"/>
      <w:r w:rsidRPr="00E827F2">
        <w:rPr>
          <w:rFonts w:eastAsia="Times New Roman"/>
          <w:color w:val="000000" w:themeColor="text1"/>
          <w:lang w:eastAsia="ru-RU"/>
        </w:rPr>
        <w:t>2022 год – 24,03 кв. м., 2023 год – 23,94 кв. м., 2024 год – 24,03  кв. м.</w:t>
      </w:r>
      <w:proofErr w:type="gramEnd"/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том числе площадь жилых помещений, введённая в действие за год: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proofErr w:type="gramStart"/>
      <w:r w:rsidRPr="00E827F2">
        <w:rPr>
          <w:rFonts w:eastAsia="Times New Roman"/>
          <w:color w:val="000000" w:themeColor="text1"/>
          <w:lang w:eastAsia="ru-RU"/>
        </w:rPr>
        <w:t>2022 год – 0,36 кв.м., 2023 год – 0,09 кв. м., 2024 год – 0,09 кв. м.</w:t>
      </w:r>
      <w:proofErr w:type="gramEnd"/>
    </w:p>
    <w:p w:rsidR="005B2B2D" w:rsidRPr="00E827F2" w:rsidRDefault="005B2B2D" w:rsidP="005B2B2D">
      <w:pPr>
        <w:ind w:firstLine="709"/>
        <w:rPr>
          <w:rFonts w:eastAsia="Times New Roman"/>
          <w:lang w:eastAsia="ru-RU"/>
        </w:rPr>
      </w:pPr>
    </w:p>
    <w:p w:rsidR="005B2B2D" w:rsidRPr="00E827F2" w:rsidRDefault="005B2B2D" w:rsidP="005B2B2D">
      <w:pPr>
        <w:autoSpaceDE w:val="0"/>
        <w:autoSpaceDN w:val="0"/>
        <w:adjustRightInd w:val="0"/>
        <w:ind w:firstLine="709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Показатель 25. Площадь земельных участков, предоставленных для строительства в расчете на 10 тыс. человек населения, - всего, </w:t>
      </w:r>
    </w:p>
    <w:p w:rsidR="005B2B2D" w:rsidRPr="00E827F2" w:rsidRDefault="005B2B2D" w:rsidP="005B2B2D">
      <w:pPr>
        <w:widowControl w:val="0"/>
        <w:autoSpaceDE w:val="0"/>
        <w:autoSpaceDN w:val="0"/>
        <w:adjustRightInd w:val="0"/>
        <w:ind w:firstLine="708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5B2B2D" w:rsidRPr="00AF31C4" w:rsidRDefault="005B2B2D" w:rsidP="005B2B2D">
      <w:pPr>
        <w:autoSpaceDE w:val="0"/>
        <w:autoSpaceDN w:val="0"/>
        <w:ind w:firstLine="708"/>
        <w:rPr>
          <w:color w:val="000000" w:themeColor="text1"/>
        </w:rPr>
      </w:pPr>
      <w:r w:rsidRPr="00E827F2">
        <w:rPr>
          <w:color w:val="000000" w:themeColor="text1"/>
        </w:rPr>
        <w:t xml:space="preserve">Площадь земельных участков, предоставленных для строительства в 2021 году, в расчете на 10 000 чел. населения составила 7,9 га, что значительно выше показателя 2020 года (1,48 га). </w:t>
      </w:r>
      <w:r w:rsidRPr="00E827F2">
        <w:rPr>
          <w:color w:val="000000" w:themeColor="text1"/>
        </w:rPr>
        <w:lastRenderedPageBreak/>
        <w:t>Рост показателя в 2021 году обусловлен предоставлением земельных участков АО «Концерн Росэнергоатом» (общей площадью 424198 кв</w:t>
      </w:r>
      <w:proofErr w:type="gramStart"/>
      <w:r w:rsidRPr="00E827F2">
        <w:rPr>
          <w:color w:val="000000" w:themeColor="text1"/>
        </w:rPr>
        <w:t>.м</w:t>
      </w:r>
      <w:proofErr w:type="gramEnd"/>
      <w:r w:rsidRPr="00E827F2">
        <w:rPr>
          <w:color w:val="000000" w:themeColor="text1"/>
        </w:rPr>
        <w:t xml:space="preserve">) в аренду для строительства, садоводческим объединениям (общей площадью 90880 кв.м) в безвозмездное пользование для </w:t>
      </w:r>
      <w:r w:rsidRPr="00AF31C4">
        <w:rPr>
          <w:color w:val="000000" w:themeColor="text1"/>
        </w:rPr>
        <w:t>ведения садоводства.</w:t>
      </w:r>
    </w:p>
    <w:p w:rsidR="005B2B2D" w:rsidRPr="00E827F2" w:rsidRDefault="005B2B2D" w:rsidP="005B2B2D">
      <w:pPr>
        <w:autoSpaceDE w:val="0"/>
        <w:autoSpaceDN w:val="0"/>
        <w:ind w:firstLine="708"/>
        <w:rPr>
          <w:color w:val="000000" w:themeColor="text1"/>
        </w:rPr>
      </w:pPr>
      <w:r w:rsidRPr="00AF31C4">
        <w:rPr>
          <w:color w:val="000000" w:themeColor="text1"/>
        </w:rPr>
        <w:t>Из 7,9 га предоставлено в 2021 для жилищного строительства</w:t>
      </w:r>
      <w:r w:rsidRPr="00AF31C4">
        <w:rPr>
          <w:b/>
          <w:bCs/>
          <w:color w:val="000000" w:themeColor="text1"/>
        </w:rPr>
        <w:t xml:space="preserve"> </w:t>
      </w:r>
      <w:r w:rsidRPr="00AF31C4">
        <w:rPr>
          <w:color w:val="000000" w:themeColor="text1"/>
        </w:rPr>
        <w:t>в расчете на 10 тыс. человек населения - 0,09 га.</w:t>
      </w:r>
      <w:r w:rsidRPr="00E827F2">
        <w:rPr>
          <w:color w:val="000000" w:themeColor="text1"/>
        </w:rPr>
        <w:t xml:space="preserve"> </w:t>
      </w:r>
    </w:p>
    <w:p w:rsidR="005B2B2D" w:rsidRPr="00E827F2" w:rsidRDefault="005B2B2D" w:rsidP="005B2B2D">
      <w:pPr>
        <w:ind w:firstLine="708"/>
        <w:rPr>
          <w:color w:val="000000" w:themeColor="text1"/>
          <w:u w:val="single"/>
        </w:rPr>
      </w:pPr>
      <w:r w:rsidRPr="00E827F2">
        <w:rPr>
          <w:color w:val="000000" w:themeColor="text1"/>
          <w:u w:val="single"/>
        </w:rPr>
        <w:t>Прогноз на трехлетний период</w:t>
      </w:r>
    </w:p>
    <w:p w:rsidR="005B2B2D" w:rsidRPr="00E827F2" w:rsidRDefault="005B2B2D" w:rsidP="005B2B2D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E827F2">
        <w:rPr>
          <w:color w:val="000000" w:themeColor="text1"/>
        </w:rPr>
        <w:t xml:space="preserve">В 2022 году площадь земельных участков, планируемых к предоставлению для строительства, в расчете на 10 000 чел. населения составит 0,57 га. </w:t>
      </w:r>
    </w:p>
    <w:p w:rsidR="005B2B2D" w:rsidRPr="00E827F2" w:rsidRDefault="005B2B2D" w:rsidP="005B2B2D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E827F2">
        <w:rPr>
          <w:color w:val="000000" w:themeColor="text1"/>
        </w:rPr>
        <w:t>В том числе площадь земельных участков, планируемых к предоставлению для жилищного строительства, составит 0,32 га.</w:t>
      </w:r>
    </w:p>
    <w:p w:rsidR="005B2B2D" w:rsidRPr="00E827F2" w:rsidRDefault="005B2B2D" w:rsidP="005B2B2D">
      <w:pPr>
        <w:ind w:firstLine="708"/>
        <w:rPr>
          <w:color w:val="000000" w:themeColor="text1"/>
          <w:u w:val="single"/>
        </w:rPr>
      </w:pPr>
      <w:r w:rsidRPr="00E827F2">
        <w:rPr>
          <w:color w:val="000000" w:themeColor="text1"/>
        </w:rPr>
        <w:t>В 2023-2024 годах не планируется предоставление земельных участков для строительства, в том числе для жилищного строительства.</w:t>
      </w:r>
    </w:p>
    <w:p w:rsidR="005B2B2D" w:rsidRPr="00E827F2" w:rsidRDefault="005B2B2D" w:rsidP="005B2B2D">
      <w:pPr>
        <w:ind w:firstLine="708"/>
        <w:rPr>
          <w:rFonts w:eastAsia="Times New Roman"/>
          <w:u w:val="single"/>
          <w:lang w:eastAsia="ru-RU"/>
        </w:rPr>
      </w:pPr>
    </w:p>
    <w:p w:rsidR="005B2B2D" w:rsidRPr="00E827F2" w:rsidRDefault="005B2B2D" w:rsidP="005B2B2D">
      <w:pPr>
        <w:ind w:firstLine="567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Показатель 26. Площадь земельных участков, предоставленных для строительства, в отношении которых </w:t>
      </w:r>
      <w:proofErr w:type="gramStart"/>
      <w:r w:rsidRPr="00E827F2">
        <w:rPr>
          <w:rFonts w:eastAsia="Times New Roman"/>
          <w:b/>
          <w:color w:val="000000" w:themeColor="text1"/>
          <w:lang w:eastAsia="ru-RU"/>
        </w:rPr>
        <w:t>с даты принятия</w:t>
      </w:r>
      <w:proofErr w:type="gramEnd"/>
      <w:r w:rsidRPr="00E827F2">
        <w:rPr>
          <w:rFonts w:eastAsia="Times New Roman"/>
          <w:b/>
          <w:color w:val="000000" w:themeColor="text1"/>
          <w:lang w:eastAsia="ru-RU"/>
        </w:rPr>
        <w:t xml:space="preserve"> решения 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</w:p>
    <w:p w:rsidR="005B2B2D" w:rsidRPr="00E827F2" w:rsidRDefault="005B2B2D" w:rsidP="005B2B2D">
      <w:pPr>
        <w:ind w:firstLine="567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 xml:space="preserve">объектов жилищного строительства - в течение 3 лет, 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2021 году площадь составила 5679 кв. м., что совпадает с уровнем 2020 года.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2022 году показатель сократится до нулевого значения за счёт сдачи в эксплуатацию  объектов жилищного строительства застройщиком.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дальнейшем, в 2022-2024 годах, в связи с отсутствием иных застройщиков ожидается сохранение показателя в нулевом значении.</w:t>
      </w:r>
    </w:p>
    <w:p w:rsidR="005B2B2D" w:rsidRPr="00E827F2" w:rsidRDefault="005B2B2D" w:rsidP="005B2B2D">
      <w:pPr>
        <w:ind w:firstLine="567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eastAsia="ru-RU"/>
        </w:rPr>
        <w:t>иных объектов капитального строительства - в течение 5 лет.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2021 году площадь составила 741 кв. м., что на уровне 2020 года.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 xml:space="preserve">В 2022 году показатель  сократился до нуля за счет ввода в эксплуатацию </w:t>
      </w:r>
      <w:proofErr w:type="spellStart"/>
      <w:r w:rsidRPr="00E827F2">
        <w:rPr>
          <w:rFonts w:eastAsia="Times New Roman"/>
          <w:color w:val="000000" w:themeColor="text1"/>
          <w:lang w:eastAsia="ru-RU"/>
        </w:rPr>
        <w:t>автомойки</w:t>
      </w:r>
      <w:proofErr w:type="spellEnd"/>
      <w:r w:rsidRPr="00E827F2">
        <w:rPr>
          <w:rFonts w:eastAsia="Times New Roman"/>
          <w:color w:val="000000" w:themeColor="text1"/>
          <w:lang w:eastAsia="ru-RU"/>
        </w:rPr>
        <w:t xml:space="preserve"> застройщиком, ИП Сафиным Р.Ш.</w:t>
      </w:r>
    </w:p>
    <w:p w:rsidR="005B2B2D" w:rsidRDefault="005B2B2D" w:rsidP="005B2B2D">
      <w:pPr>
        <w:ind w:firstLine="709"/>
        <w:rPr>
          <w:rFonts w:eastAsia="Times New Roman"/>
          <w:color w:val="000000" w:themeColor="text1"/>
          <w:u w:val="single"/>
          <w:lang w:eastAsia="ru-RU"/>
        </w:rPr>
      </w:pPr>
    </w:p>
    <w:p w:rsidR="005B2B2D" w:rsidRDefault="005B2B2D" w:rsidP="005B2B2D">
      <w:pPr>
        <w:ind w:firstLine="709"/>
        <w:rPr>
          <w:rFonts w:eastAsia="Times New Roman"/>
          <w:color w:val="000000" w:themeColor="text1"/>
          <w:u w:val="single"/>
          <w:lang w:eastAsia="ru-RU"/>
        </w:rPr>
      </w:pPr>
    </w:p>
    <w:p w:rsidR="005B2B2D" w:rsidRDefault="005B2B2D" w:rsidP="005B2B2D">
      <w:pPr>
        <w:ind w:firstLine="709"/>
        <w:rPr>
          <w:rFonts w:eastAsia="Times New Roman"/>
          <w:color w:val="000000" w:themeColor="text1"/>
          <w:u w:val="single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u w:val="single"/>
          <w:lang w:eastAsia="ru-RU"/>
        </w:rPr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val="en-US" w:eastAsia="ru-RU"/>
        </w:rPr>
        <w:t>VII</w:t>
      </w:r>
      <w:r w:rsidRPr="00E827F2">
        <w:rPr>
          <w:rFonts w:eastAsia="Times New Roman"/>
          <w:b/>
          <w:lang w:eastAsia="ru-RU"/>
        </w:rPr>
        <w:t>.</w:t>
      </w:r>
      <w:r w:rsidRPr="00E827F2">
        <w:rPr>
          <w:rFonts w:eastAsia="Times New Roman"/>
          <w:lang w:eastAsia="ru-RU"/>
        </w:rPr>
        <w:t xml:space="preserve"> </w:t>
      </w:r>
      <w:r w:rsidRPr="00E827F2">
        <w:rPr>
          <w:rFonts w:eastAsia="Times New Roman"/>
          <w:b/>
          <w:lang w:eastAsia="ru-RU"/>
        </w:rPr>
        <w:t>Жилищно-коммунальное хозяйство</w:t>
      </w:r>
    </w:p>
    <w:p w:rsidR="005B2B2D" w:rsidRPr="00E827F2" w:rsidRDefault="005B2B2D" w:rsidP="005B2B2D">
      <w:pPr>
        <w:tabs>
          <w:tab w:val="left" w:pos="2090"/>
          <w:tab w:val="center" w:pos="5032"/>
        </w:tabs>
        <w:jc w:val="center"/>
        <w:rPr>
          <w:rFonts w:eastAsia="Times New Roman"/>
          <w:b/>
          <w:lang w:bidi="en-US"/>
        </w:rPr>
      </w:pPr>
      <w:r w:rsidRPr="00E827F2">
        <w:rPr>
          <w:rFonts w:eastAsia="Times New Roman"/>
          <w:b/>
          <w:lang w:bidi="en-US"/>
        </w:rPr>
        <w:t>Характеристика</w:t>
      </w:r>
      <w:r w:rsidRPr="00E827F2">
        <w:rPr>
          <w:rFonts w:eastAsia="Times New Roman"/>
          <w:b/>
          <w:caps/>
          <w:lang w:bidi="en-US"/>
        </w:rPr>
        <w:t xml:space="preserve"> </w:t>
      </w:r>
      <w:r w:rsidRPr="00E827F2">
        <w:rPr>
          <w:rFonts w:eastAsia="Times New Roman"/>
          <w:b/>
          <w:lang w:bidi="en-US"/>
        </w:rPr>
        <w:t>отрасли</w:t>
      </w:r>
    </w:p>
    <w:p w:rsidR="005B2B2D" w:rsidRPr="00E827F2" w:rsidRDefault="005B2B2D" w:rsidP="005B2B2D">
      <w:pPr>
        <w:tabs>
          <w:tab w:val="left" w:pos="2090"/>
          <w:tab w:val="center" w:pos="5032"/>
        </w:tabs>
        <w:jc w:val="center"/>
        <w:rPr>
          <w:rFonts w:eastAsia="Times New Roman"/>
          <w:b/>
          <w:lang w:bidi="en-US"/>
        </w:rPr>
      </w:pP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В настоящее время в жилищно-коммунальном комплексе Сосновоборского городского округа осуществляют деятельность </w:t>
      </w:r>
      <w:proofErr w:type="spellStart"/>
      <w:r w:rsidRPr="00E827F2">
        <w:rPr>
          <w:color w:val="000000" w:themeColor="text1"/>
          <w:sz w:val="24"/>
          <w:szCs w:val="24"/>
        </w:rPr>
        <w:t>ресурсоснабжающие</w:t>
      </w:r>
      <w:proofErr w:type="spellEnd"/>
      <w:r w:rsidRPr="00E827F2">
        <w:rPr>
          <w:color w:val="000000" w:themeColor="text1"/>
          <w:sz w:val="24"/>
          <w:szCs w:val="24"/>
        </w:rPr>
        <w:t xml:space="preserve"> организации: </w:t>
      </w:r>
      <w:proofErr w:type="gramStart"/>
      <w:r w:rsidRPr="00E827F2">
        <w:rPr>
          <w:color w:val="000000" w:themeColor="text1"/>
          <w:sz w:val="24"/>
          <w:szCs w:val="24"/>
        </w:rPr>
        <w:t xml:space="preserve">СМУП «Теплоснабжающее», СМУП «Водоканал», ООО «ВОДОКАНАЛ», ООО «ТСП», ООО «Газпром </w:t>
      </w:r>
      <w:proofErr w:type="spellStart"/>
      <w:r w:rsidRPr="00E827F2">
        <w:rPr>
          <w:color w:val="000000" w:themeColor="text1"/>
          <w:sz w:val="24"/>
          <w:szCs w:val="24"/>
        </w:rPr>
        <w:t>межрегионгаз</w:t>
      </w:r>
      <w:proofErr w:type="spellEnd"/>
      <w:r w:rsidRPr="00E827F2">
        <w:rPr>
          <w:color w:val="000000" w:themeColor="text1"/>
          <w:sz w:val="24"/>
          <w:szCs w:val="24"/>
        </w:rPr>
        <w:t xml:space="preserve"> Санкт-Петербург», ООО «</w:t>
      </w:r>
      <w:proofErr w:type="spellStart"/>
      <w:r w:rsidRPr="00E827F2">
        <w:rPr>
          <w:color w:val="000000" w:themeColor="text1"/>
          <w:sz w:val="24"/>
          <w:szCs w:val="24"/>
        </w:rPr>
        <w:t>РКС-Энерго</w:t>
      </w:r>
      <w:proofErr w:type="spellEnd"/>
      <w:r w:rsidRPr="00E827F2">
        <w:rPr>
          <w:color w:val="000000" w:themeColor="text1"/>
          <w:sz w:val="24"/>
          <w:szCs w:val="24"/>
        </w:rPr>
        <w:t>».</w:t>
      </w:r>
      <w:proofErr w:type="gramEnd"/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Деятельность по управлению многоквартирных домов осуществляют 11 управляющих организаций и 4 товарищества собственников жилья, ведомственные дома содержатся ФГАУ «</w:t>
      </w:r>
      <w:proofErr w:type="spellStart"/>
      <w:r w:rsidRPr="00E827F2">
        <w:rPr>
          <w:color w:val="000000" w:themeColor="text1"/>
          <w:sz w:val="24"/>
          <w:szCs w:val="24"/>
        </w:rPr>
        <w:t>Росжилкомплекс</w:t>
      </w:r>
      <w:proofErr w:type="spellEnd"/>
      <w:r w:rsidRPr="00E827F2">
        <w:rPr>
          <w:color w:val="000000" w:themeColor="text1"/>
          <w:sz w:val="24"/>
          <w:szCs w:val="24"/>
        </w:rPr>
        <w:t>» МО РФ (ул. Солнечная, д.27, 27а) и ФГУП НИТИ им. А.П. Александрова (ул. Красных Фортов, д.11/2).</w:t>
      </w: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Деятельность по управлению многоквартирных домов осуществляют 11 управляющих организаций: АО «Агентство эксплуатации недвижимости», ООО «Социум-Строй», ООО «</w:t>
      </w:r>
      <w:proofErr w:type="spellStart"/>
      <w:r w:rsidRPr="00E827F2">
        <w:rPr>
          <w:color w:val="000000" w:themeColor="text1"/>
          <w:sz w:val="24"/>
          <w:szCs w:val="24"/>
        </w:rPr>
        <w:t>Титанжилком</w:t>
      </w:r>
      <w:proofErr w:type="spellEnd"/>
      <w:r w:rsidRPr="00E827F2">
        <w:rPr>
          <w:color w:val="000000" w:themeColor="text1"/>
          <w:sz w:val="24"/>
          <w:szCs w:val="24"/>
        </w:rPr>
        <w:t xml:space="preserve">», ООО «УК Единение», ООО «Дом </w:t>
      </w:r>
      <w:proofErr w:type="gramStart"/>
      <w:r w:rsidRPr="00E827F2">
        <w:rPr>
          <w:color w:val="000000" w:themeColor="text1"/>
          <w:sz w:val="24"/>
          <w:szCs w:val="24"/>
        </w:rPr>
        <w:t>СБ</w:t>
      </w:r>
      <w:proofErr w:type="gramEnd"/>
      <w:r w:rsidRPr="00E827F2">
        <w:rPr>
          <w:color w:val="000000" w:themeColor="text1"/>
          <w:sz w:val="24"/>
          <w:szCs w:val="24"/>
        </w:rPr>
        <w:t>», ООО «СИТИ-Сервис», ООО «Квартал СБ», ООО «Управление домами – Соснового Бора», ООО «</w:t>
      </w:r>
      <w:proofErr w:type="spellStart"/>
      <w:r w:rsidRPr="00E827F2">
        <w:rPr>
          <w:color w:val="000000" w:themeColor="text1"/>
          <w:sz w:val="24"/>
          <w:szCs w:val="24"/>
        </w:rPr>
        <w:t>Домус</w:t>
      </w:r>
      <w:proofErr w:type="spellEnd"/>
      <w:r w:rsidRPr="00E827F2">
        <w:rPr>
          <w:color w:val="000000" w:themeColor="text1"/>
          <w:sz w:val="24"/>
          <w:szCs w:val="24"/>
        </w:rPr>
        <w:t>», ООО «РИТЦ», ООО «ЖКО-ЛАЭС».</w:t>
      </w: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Также управление многоквартирными домами осуществляют 4 товарищества собственников жилья.</w:t>
      </w: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Ведомственные дома содержатся:</w:t>
      </w: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1. ФГАУ «</w:t>
      </w:r>
      <w:proofErr w:type="spellStart"/>
      <w:r w:rsidRPr="00E827F2">
        <w:rPr>
          <w:color w:val="000000" w:themeColor="text1"/>
          <w:sz w:val="24"/>
          <w:szCs w:val="24"/>
        </w:rPr>
        <w:t>Росжилкомплекс</w:t>
      </w:r>
      <w:proofErr w:type="spellEnd"/>
      <w:r w:rsidRPr="00E827F2">
        <w:rPr>
          <w:color w:val="000000" w:themeColor="text1"/>
          <w:sz w:val="24"/>
          <w:szCs w:val="24"/>
        </w:rPr>
        <w:t>» МО РФ - ул. Солнечная, д.27, 27а</w:t>
      </w:r>
    </w:p>
    <w:p w:rsidR="005B2B2D" w:rsidRPr="00E827F2" w:rsidRDefault="005B2B2D" w:rsidP="005B2B2D">
      <w:pPr>
        <w:pStyle w:val="af2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2. ФГУП НИТИ им. А.П. Александрова – ул. Красных Фортов, д.11/2</w:t>
      </w:r>
    </w:p>
    <w:p w:rsidR="005B2B2D" w:rsidRPr="00E827F2" w:rsidRDefault="005B2B2D" w:rsidP="005B2B2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827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целях модернизации и реконструкции муниципального имущества, составляющего объекты водоснабжения и водоотведения, 28 июля 2020 года заключено Концессионное соглашение в отношении отдельных объектов водоснабжения, водоотведения, предназначенных </w:t>
      </w:r>
      <w:r w:rsidRPr="00E827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для водоснабжения и водоотведения на 30 лет, на общую сумму 1 505 356,050 тыс. руб.</w:t>
      </w:r>
    </w:p>
    <w:p w:rsidR="005B2B2D" w:rsidRPr="00E827F2" w:rsidRDefault="005B2B2D" w:rsidP="005B2B2D">
      <w:pPr>
        <w:spacing w:line="276" w:lineRule="auto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Отделом ЖКХ в 2021 году 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проведен открытый конкурс по отбору управляющей организации для управления домом №19 по ул. Набережная.</w:t>
      </w:r>
    </w:p>
    <w:p w:rsidR="005B2B2D" w:rsidRPr="00E827F2" w:rsidRDefault="005B2B2D" w:rsidP="005B2B2D">
      <w:pPr>
        <w:spacing w:line="276" w:lineRule="auto"/>
        <w:ind w:firstLine="709"/>
        <w:rPr>
          <w:color w:val="000000" w:themeColor="text1"/>
        </w:rPr>
      </w:pPr>
      <w:r w:rsidRPr="00E827F2">
        <w:rPr>
          <w:color w:val="000000" w:themeColor="text1"/>
        </w:rPr>
        <w:t>В течени</w:t>
      </w:r>
      <w:proofErr w:type="gramStart"/>
      <w:r w:rsidRPr="00E827F2">
        <w:rPr>
          <w:color w:val="000000" w:themeColor="text1"/>
        </w:rPr>
        <w:t>и</w:t>
      </w:r>
      <w:proofErr w:type="gramEnd"/>
      <w:r w:rsidRPr="00E827F2">
        <w:rPr>
          <w:color w:val="000000" w:themeColor="text1"/>
        </w:rPr>
        <w:t xml:space="preserve"> 2021 года отделом ЖКХ в соответствии с п.4 ст.158 Жилищного кодекса РФ и Порядком установления размера платы за содержание и ремонт жилого помещения на территории муниципального образования Сосновоборский городской округ Ленинградской области, утвержденного постановлением администрации Сосновоборского городского округа от 01.04.2015 № 1034, в виду того, что собственники помещений в многоквартирных домах на их общем собрании не приняли решение об установлении размера платы за содержание жилого помещения с учетом предложений АО «АЭН» </w:t>
      </w:r>
      <w:proofErr w:type="gramStart"/>
      <w:r w:rsidRPr="00E827F2">
        <w:rPr>
          <w:color w:val="000000" w:themeColor="text1"/>
        </w:rPr>
        <w:t>и ООО</w:t>
      </w:r>
      <w:proofErr w:type="gramEnd"/>
      <w:r w:rsidRPr="00E827F2">
        <w:rPr>
          <w:color w:val="000000" w:themeColor="text1"/>
        </w:rPr>
        <w:t xml:space="preserve"> «Социум-Строй», администрацией были установлены соответствующие тарифы.</w:t>
      </w:r>
    </w:p>
    <w:p w:rsidR="005B2B2D" w:rsidRPr="00E827F2" w:rsidRDefault="005B2B2D" w:rsidP="005B2B2D">
      <w:pPr>
        <w:ind w:right="57" w:firstLine="709"/>
        <w:rPr>
          <w:color w:val="000000" w:themeColor="text1"/>
        </w:rPr>
      </w:pPr>
      <w:r w:rsidRPr="00E827F2">
        <w:rPr>
          <w:color w:val="000000" w:themeColor="text1"/>
        </w:rPr>
        <w:t>С целью реализации в 2021 году Региональной программы капитального ремонта общего имущества в многоквартирных домах, расположенных на территории Ленинградской области, в 2014-2043 гг. на территории Сосновоборского городского округа были запланированы следующие работы/услуги по капитальному ремонту в многоквартирных домах:</w:t>
      </w:r>
    </w:p>
    <w:p w:rsidR="005B2B2D" w:rsidRPr="00E827F2" w:rsidRDefault="005B2B2D" w:rsidP="005B2B2D">
      <w:pPr>
        <w:ind w:right="57" w:firstLine="709"/>
        <w:rPr>
          <w:color w:val="000000" w:themeColor="text1"/>
        </w:rPr>
      </w:pPr>
      <w:r w:rsidRPr="00E827F2">
        <w:rPr>
          <w:i/>
          <w:color w:val="000000" w:themeColor="text1"/>
          <w:u w:val="single"/>
        </w:rPr>
        <w:t xml:space="preserve">капитальный ремонт крыши </w:t>
      </w:r>
      <w:r w:rsidRPr="00E827F2">
        <w:rPr>
          <w:color w:val="000000" w:themeColor="text1"/>
        </w:rPr>
        <w:t>– в 3 многоквартирных домах (ул. Комсомольская, д.12, ул. Ленинградская, д.24, Копорское шоссе, д.6), на общую сумму 21105,060 тыс</w:t>
      </w:r>
      <w:proofErr w:type="gramStart"/>
      <w:r w:rsidRPr="00E827F2">
        <w:rPr>
          <w:color w:val="000000" w:themeColor="text1"/>
        </w:rPr>
        <w:t>.р</w:t>
      </w:r>
      <w:proofErr w:type="gramEnd"/>
      <w:r w:rsidRPr="00E827F2">
        <w:rPr>
          <w:color w:val="000000" w:themeColor="text1"/>
        </w:rPr>
        <w:t>уб.</w:t>
      </w:r>
    </w:p>
    <w:p w:rsidR="005B2B2D" w:rsidRPr="00E827F2" w:rsidRDefault="005B2B2D" w:rsidP="005B2B2D">
      <w:pPr>
        <w:ind w:right="57" w:firstLine="709"/>
        <w:rPr>
          <w:color w:val="000000" w:themeColor="text1"/>
        </w:rPr>
      </w:pPr>
      <w:proofErr w:type="gramStart"/>
      <w:r w:rsidRPr="00E827F2">
        <w:rPr>
          <w:i/>
          <w:color w:val="000000" w:themeColor="text1"/>
          <w:u w:val="single"/>
        </w:rPr>
        <w:t xml:space="preserve">капитальный ремонт фасада </w:t>
      </w:r>
      <w:r w:rsidRPr="00E827F2">
        <w:rPr>
          <w:color w:val="000000" w:themeColor="text1"/>
        </w:rPr>
        <w:t>– в 3 многоквартирных домах (ул. Ленинградская, д.12, пр.</w:t>
      </w:r>
      <w:proofErr w:type="gramEnd"/>
      <w:r w:rsidRPr="00E827F2">
        <w:rPr>
          <w:color w:val="000000" w:themeColor="text1"/>
        </w:rPr>
        <w:t xml:space="preserve"> Героев, д.11, ул. Солнечная, д. 25а), на общую сумму 40320,840 тыс</w:t>
      </w:r>
      <w:proofErr w:type="gramStart"/>
      <w:r w:rsidRPr="00E827F2">
        <w:rPr>
          <w:color w:val="000000" w:themeColor="text1"/>
        </w:rPr>
        <w:t>.р</w:t>
      </w:r>
      <w:proofErr w:type="gramEnd"/>
      <w:r w:rsidRPr="00E827F2">
        <w:rPr>
          <w:color w:val="000000" w:themeColor="text1"/>
        </w:rPr>
        <w:t>уб.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i/>
          <w:color w:val="000000" w:themeColor="text1"/>
          <w:u w:val="single"/>
        </w:rPr>
        <w:t xml:space="preserve"> </w:t>
      </w:r>
      <w:proofErr w:type="gramStart"/>
      <w:r w:rsidRPr="00E827F2">
        <w:rPr>
          <w:i/>
          <w:color w:val="000000" w:themeColor="text1"/>
          <w:u w:val="single"/>
        </w:rPr>
        <w:t>капитальный ремонт электросетей</w:t>
      </w:r>
      <w:r w:rsidRPr="00E827F2">
        <w:rPr>
          <w:color w:val="000000" w:themeColor="text1"/>
        </w:rPr>
        <w:t xml:space="preserve"> – в 4 многоквартирных домах (ул. Комсомольская, д.12, ул. Ленинградская, д.8, ул. Ленинская, д.1, ул. Солнечная, д.25) на общую сумму 5239,579 тыс. руб.</w:t>
      </w:r>
      <w:proofErr w:type="gramEnd"/>
    </w:p>
    <w:p w:rsidR="005B2B2D" w:rsidRPr="00E827F2" w:rsidRDefault="005B2B2D" w:rsidP="005B2B2D">
      <w:pPr>
        <w:ind w:firstLine="708"/>
        <w:rPr>
          <w:color w:val="000000" w:themeColor="text1"/>
        </w:rPr>
      </w:pPr>
      <w:proofErr w:type="gramStart"/>
      <w:r w:rsidRPr="00E827F2">
        <w:rPr>
          <w:i/>
          <w:color w:val="000000" w:themeColor="text1"/>
          <w:u w:val="single"/>
        </w:rPr>
        <w:t>капитальный ремонт лифтового оборудования</w:t>
      </w:r>
      <w:r w:rsidRPr="00E827F2">
        <w:rPr>
          <w:i/>
          <w:color w:val="000000" w:themeColor="text1"/>
        </w:rPr>
        <w:t xml:space="preserve"> </w:t>
      </w:r>
      <w:r w:rsidRPr="00E827F2">
        <w:rPr>
          <w:color w:val="000000" w:themeColor="text1"/>
        </w:rPr>
        <w:t>– в 2 многоквартирных домах (ул. Парковая, д.70, ул. Ленинградская, д.38) на общую сумму 5454,710 тыс. руб.</w:t>
      </w:r>
      <w:proofErr w:type="gramEnd"/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i/>
          <w:color w:val="000000" w:themeColor="text1"/>
          <w:u w:val="single"/>
        </w:rPr>
        <w:t>капитальный ремонт подвальных помещений</w:t>
      </w:r>
      <w:r w:rsidRPr="00E827F2">
        <w:rPr>
          <w:i/>
          <w:color w:val="000000" w:themeColor="text1"/>
        </w:rPr>
        <w:t xml:space="preserve"> </w:t>
      </w:r>
      <w:r w:rsidRPr="00E827F2">
        <w:rPr>
          <w:color w:val="000000" w:themeColor="text1"/>
        </w:rPr>
        <w:t xml:space="preserve">– в 1 многоквартирном доме (ул. </w:t>
      </w:r>
      <w:proofErr w:type="gramStart"/>
      <w:r w:rsidRPr="00E827F2">
        <w:rPr>
          <w:color w:val="000000" w:themeColor="text1"/>
        </w:rPr>
        <w:t>Ленинская</w:t>
      </w:r>
      <w:proofErr w:type="gramEnd"/>
      <w:r w:rsidRPr="00E827F2">
        <w:rPr>
          <w:color w:val="000000" w:themeColor="text1"/>
        </w:rPr>
        <w:t>, д.7), на общую сумму 581,13 тыс. руб.;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i/>
          <w:color w:val="000000" w:themeColor="text1"/>
          <w:u w:val="single"/>
        </w:rPr>
        <w:t xml:space="preserve"> капитальный ремонт ХВС, ГВС, ТС</w:t>
      </w:r>
      <w:r w:rsidRPr="00E827F2">
        <w:rPr>
          <w:color w:val="000000" w:themeColor="text1"/>
        </w:rPr>
        <w:t xml:space="preserve"> – в 1 многоквартирном доме (ул. Красных Фортов, д.15), на общую сумму 4 702,41 тыс. руб.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Проектно-изыскательские работы – по 7 видам капитального ремонта, на общую сумму 13 992,68 тыс. руб.:</w:t>
      </w:r>
    </w:p>
    <w:p w:rsidR="005B2B2D" w:rsidRPr="00E827F2" w:rsidRDefault="005B2B2D" w:rsidP="005B2B2D">
      <w:pPr>
        <w:rPr>
          <w:color w:val="000000" w:themeColor="text1"/>
          <w:u w:val="single"/>
        </w:rPr>
      </w:pPr>
      <w:r w:rsidRPr="00E827F2">
        <w:rPr>
          <w:color w:val="000000" w:themeColor="text1"/>
        </w:rPr>
        <w:tab/>
      </w:r>
      <w:r w:rsidRPr="00E827F2">
        <w:rPr>
          <w:color w:val="000000" w:themeColor="text1"/>
          <w:u w:val="single"/>
        </w:rPr>
        <w:t xml:space="preserve">1. </w:t>
      </w:r>
      <w:r w:rsidRPr="00E827F2">
        <w:rPr>
          <w:i/>
          <w:color w:val="000000" w:themeColor="text1"/>
          <w:u w:val="single"/>
        </w:rPr>
        <w:t>Ремонт крыши (9 МКД)</w:t>
      </w:r>
      <w:r w:rsidRPr="00E827F2">
        <w:rPr>
          <w:color w:val="000000" w:themeColor="text1"/>
          <w:u w:val="single"/>
        </w:rPr>
        <w:t>: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50 лет Октября, д.8, д.10, д.12, д.14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Высотная, д.3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Ленинградская, д.18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пр. Героев, д.8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Комсомольская, д.20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Космонавтов, д.20</w:t>
      </w:r>
    </w:p>
    <w:p w:rsidR="005B2B2D" w:rsidRPr="00E827F2" w:rsidRDefault="005B2B2D" w:rsidP="005B2B2D">
      <w:pPr>
        <w:rPr>
          <w:color w:val="000000" w:themeColor="text1"/>
          <w:u w:val="single"/>
        </w:rPr>
      </w:pPr>
      <w:r w:rsidRPr="00E827F2">
        <w:rPr>
          <w:color w:val="000000" w:themeColor="text1"/>
        </w:rPr>
        <w:tab/>
      </w:r>
      <w:r w:rsidRPr="00E827F2">
        <w:rPr>
          <w:color w:val="000000" w:themeColor="text1"/>
          <w:u w:val="single"/>
        </w:rPr>
        <w:t xml:space="preserve">2. </w:t>
      </w:r>
      <w:r w:rsidRPr="00E827F2">
        <w:rPr>
          <w:i/>
          <w:color w:val="000000" w:themeColor="text1"/>
          <w:u w:val="single"/>
        </w:rPr>
        <w:t>Ремонт теплосетей, УУ и ПУ (9 МКД)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50 лет Октября, д.15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Комсомольская, д.4, д.12, д.21а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Ленинградская, д. 6, д.16, д.22, д.24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Сибирская, д.10</w:t>
      </w:r>
    </w:p>
    <w:p w:rsidR="005B2B2D" w:rsidRPr="00E827F2" w:rsidRDefault="005B2B2D" w:rsidP="005B2B2D">
      <w:pPr>
        <w:rPr>
          <w:color w:val="000000" w:themeColor="text1"/>
          <w:u w:val="single"/>
        </w:rPr>
      </w:pPr>
      <w:r w:rsidRPr="00E827F2">
        <w:rPr>
          <w:color w:val="000000" w:themeColor="text1"/>
        </w:rPr>
        <w:tab/>
      </w:r>
      <w:r w:rsidRPr="00E827F2">
        <w:rPr>
          <w:color w:val="000000" w:themeColor="text1"/>
          <w:u w:val="single"/>
        </w:rPr>
        <w:t xml:space="preserve">3. </w:t>
      </w:r>
      <w:r w:rsidRPr="00E827F2">
        <w:rPr>
          <w:i/>
          <w:color w:val="000000" w:themeColor="text1"/>
          <w:u w:val="single"/>
        </w:rPr>
        <w:t>Ремонт сетей ХВС, ГВС</w:t>
      </w:r>
      <w:proofErr w:type="gramStart"/>
      <w:r w:rsidRPr="00E827F2">
        <w:rPr>
          <w:i/>
          <w:color w:val="000000" w:themeColor="text1"/>
          <w:u w:val="single"/>
        </w:rPr>
        <w:t>,В</w:t>
      </w:r>
      <w:proofErr w:type="gramEnd"/>
      <w:r w:rsidRPr="00E827F2">
        <w:rPr>
          <w:i/>
          <w:color w:val="000000" w:themeColor="text1"/>
          <w:u w:val="single"/>
        </w:rPr>
        <w:t>О, УУ и ПУ</w:t>
      </w:r>
      <w:r w:rsidRPr="00E827F2">
        <w:rPr>
          <w:color w:val="000000" w:themeColor="text1"/>
          <w:u w:val="single"/>
        </w:rPr>
        <w:t xml:space="preserve">  (4 МКД)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 xml:space="preserve">- ул. Красных Фортов, д.5, д.20  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Копорское шоссе, д.6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Солнечная, д.15</w:t>
      </w:r>
    </w:p>
    <w:p w:rsidR="005B2B2D" w:rsidRPr="00E827F2" w:rsidRDefault="005B2B2D" w:rsidP="005B2B2D">
      <w:pPr>
        <w:rPr>
          <w:color w:val="000000" w:themeColor="text1"/>
          <w:u w:val="single"/>
        </w:rPr>
      </w:pPr>
      <w:r w:rsidRPr="00E827F2">
        <w:rPr>
          <w:color w:val="000000" w:themeColor="text1"/>
        </w:rPr>
        <w:tab/>
      </w:r>
      <w:r w:rsidRPr="00E827F2">
        <w:rPr>
          <w:color w:val="000000" w:themeColor="text1"/>
          <w:u w:val="single"/>
        </w:rPr>
        <w:t xml:space="preserve">4. </w:t>
      </w:r>
      <w:r w:rsidRPr="00E827F2">
        <w:rPr>
          <w:i/>
          <w:color w:val="000000" w:themeColor="text1"/>
          <w:u w:val="single"/>
        </w:rPr>
        <w:t>Ремонт электросетей</w:t>
      </w:r>
      <w:r w:rsidRPr="00E827F2">
        <w:rPr>
          <w:color w:val="000000" w:themeColor="text1"/>
          <w:u w:val="single"/>
        </w:rPr>
        <w:t xml:space="preserve"> (5 МКД)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 xml:space="preserve">- ул. Красных Фортов, д.4 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 xml:space="preserve">- ул. Ленинградская, д.10, д.26 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Космонавтов, д.20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ab/>
        <w:t>- ул. Солнечная, д.17</w:t>
      </w:r>
    </w:p>
    <w:p w:rsidR="005B2B2D" w:rsidRPr="00E827F2" w:rsidRDefault="005B2B2D" w:rsidP="005B2B2D">
      <w:pPr>
        <w:ind w:firstLine="709"/>
        <w:rPr>
          <w:i/>
          <w:color w:val="000000" w:themeColor="text1"/>
          <w:u w:val="single"/>
        </w:rPr>
      </w:pPr>
      <w:r w:rsidRPr="00E827F2">
        <w:rPr>
          <w:i/>
          <w:color w:val="000000" w:themeColor="text1"/>
          <w:u w:val="single"/>
        </w:rPr>
        <w:lastRenderedPageBreak/>
        <w:t>5. Ремонт фасада (4 МКД)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пр. Героев, д.8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Комсомольская, д.20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Солнечная, д.43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Космонавтов, д.20</w:t>
      </w:r>
    </w:p>
    <w:p w:rsidR="005B2B2D" w:rsidRPr="00E827F2" w:rsidRDefault="005B2B2D" w:rsidP="005B2B2D">
      <w:pPr>
        <w:ind w:firstLine="709"/>
        <w:rPr>
          <w:i/>
          <w:color w:val="000000" w:themeColor="text1"/>
          <w:u w:val="single"/>
        </w:rPr>
      </w:pPr>
      <w:r w:rsidRPr="00E827F2">
        <w:rPr>
          <w:i/>
          <w:color w:val="000000" w:themeColor="text1"/>
          <w:u w:val="single"/>
        </w:rPr>
        <w:t>6. Ремонт подвальных помещений (4 МКД):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пр. Героев, д.8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Комсомольская, д.20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Солнечная, д.43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Космонавтов, д.20</w:t>
      </w:r>
    </w:p>
    <w:p w:rsidR="005B2B2D" w:rsidRPr="00E827F2" w:rsidRDefault="005B2B2D" w:rsidP="005B2B2D">
      <w:pPr>
        <w:ind w:firstLine="709"/>
        <w:rPr>
          <w:i/>
          <w:color w:val="000000" w:themeColor="text1"/>
          <w:u w:val="single"/>
        </w:rPr>
      </w:pPr>
      <w:r w:rsidRPr="00E827F2">
        <w:rPr>
          <w:i/>
          <w:color w:val="000000" w:themeColor="text1"/>
          <w:u w:val="single"/>
        </w:rPr>
        <w:t>7. Ремонт сетей ВО (1 МКД):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ул. Солнечная, д.25.</w:t>
      </w:r>
    </w:p>
    <w:p w:rsidR="005B2B2D" w:rsidRPr="00E827F2" w:rsidRDefault="005B2B2D" w:rsidP="005B2B2D">
      <w:pPr>
        <w:ind w:firstLine="708"/>
        <w:rPr>
          <w:b/>
          <w:i/>
          <w:color w:val="000000" w:themeColor="text1"/>
          <w:u w:val="single"/>
        </w:rPr>
      </w:pP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Некоммерческой организацией «Фонд капитального ремонта многоквартирных домов Ленинградской области» (далее – Региональный оператор) проведены конкурсные процедуры по отбору подрядных организаций для выполнения работ/услуг по капитальному ремонту общего имущества в многоквартирных домах, включенных в Краткосрочный план реализации в 2021 году.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С подрядная организацией </w:t>
      </w:r>
      <w:r w:rsidRPr="00E827F2">
        <w:rPr>
          <w:b/>
          <w:color w:val="000000" w:themeColor="text1"/>
        </w:rPr>
        <w:t>ООО «Волга»</w:t>
      </w:r>
      <w:r w:rsidRPr="00E827F2">
        <w:rPr>
          <w:color w:val="000000" w:themeColor="text1"/>
        </w:rPr>
        <w:t xml:space="preserve"> Региональный оператор расторг договор. На 28.01.2022 года выбрана подрядная организация для завершения капитального ремонта, где ранее ООО «Волга» приступила к объектам: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Крыши – ул. </w:t>
      </w:r>
      <w:proofErr w:type="gramStart"/>
      <w:r w:rsidRPr="00E827F2">
        <w:rPr>
          <w:color w:val="000000" w:themeColor="text1"/>
        </w:rPr>
        <w:t>Ленинградская</w:t>
      </w:r>
      <w:proofErr w:type="gramEnd"/>
      <w:r w:rsidRPr="00E827F2">
        <w:rPr>
          <w:color w:val="000000" w:themeColor="text1"/>
        </w:rPr>
        <w:t>, д.24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Фасада – ул. </w:t>
      </w:r>
      <w:proofErr w:type="gramStart"/>
      <w:r w:rsidRPr="00E827F2">
        <w:rPr>
          <w:color w:val="000000" w:themeColor="text1"/>
        </w:rPr>
        <w:t>Ленинградская</w:t>
      </w:r>
      <w:proofErr w:type="gramEnd"/>
      <w:r w:rsidRPr="00E827F2">
        <w:rPr>
          <w:color w:val="000000" w:themeColor="text1"/>
        </w:rPr>
        <w:t>, д.12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proofErr w:type="spellStart"/>
      <w:r w:rsidRPr="00E827F2">
        <w:rPr>
          <w:color w:val="000000" w:themeColor="text1"/>
        </w:rPr>
        <w:t>Эл</w:t>
      </w:r>
      <w:proofErr w:type="gramStart"/>
      <w:r w:rsidRPr="00E827F2">
        <w:rPr>
          <w:color w:val="000000" w:themeColor="text1"/>
        </w:rPr>
        <w:t>.с</w:t>
      </w:r>
      <w:proofErr w:type="gramEnd"/>
      <w:r w:rsidRPr="00E827F2">
        <w:rPr>
          <w:color w:val="000000" w:themeColor="text1"/>
        </w:rPr>
        <w:t>ети</w:t>
      </w:r>
      <w:proofErr w:type="spellEnd"/>
      <w:r w:rsidRPr="00E827F2">
        <w:rPr>
          <w:color w:val="000000" w:themeColor="text1"/>
        </w:rPr>
        <w:t xml:space="preserve"> – Солнечная, д.25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Для выполнения </w:t>
      </w:r>
      <w:proofErr w:type="spellStart"/>
      <w:r w:rsidRPr="00E827F2">
        <w:rPr>
          <w:color w:val="000000" w:themeColor="text1"/>
        </w:rPr>
        <w:t>ПИРов</w:t>
      </w:r>
      <w:proofErr w:type="spellEnd"/>
      <w:r w:rsidRPr="00E827F2">
        <w:rPr>
          <w:color w:val="000000" w:themeColor="text1"/>
        </w:rPr>
        <w:t xml:space="preserve"> – также отобрана подрядная организация, так как </w:t>
      </w:r>
      <w:proofErr w:type="spellStart"/>
      <w:r w:rsidRPr="00E827F2">
        <w:rPr>
          <w:color w:val="000000" w:themeColor="text1"/>
        </w:rPr>
        <w:t>ПИРы</w:t>
      </w:r>
      <w:proofErr w:type="spellEnd"/>
      <w:r w:rsidRPr="00E827F2">
        <w:rPr>
          <w:color w:val="000000" w:themeColor="text1"/>
        </w:rPr>
        <w:t xml:space="preserve"> также должна была подготовить подрядная организация ООО «Волга».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Подрядной организацией </w:t>
      </w:r>
      <w:r w:rsidRPr="00E827F2">
        <w:rPr>
          <w:b/>
          <w:color w:val="000000" w:themeColor="text1"/>
        </w:rPr>
        <w:t>ООО «</w:t>
      </w:r>
      <w:proofErr w:type="spellStart"/>
      <w:r w:rsidRPr="00E827F2">
        <w:rPr>
          <w:b/>
          <w:color w:val="000000" w:themeColor="text1"/>
        </w:rPr>
        <w:t>ГТ-Строй-Выборг</w:t>
      </w:r>
      <w:proofErr w:type="spellEnd"/>
      <w:r w:rsidRPr="00E827F2">
        <w:rPr>
          <w:b/>
          <w:color w:val="000000" w:themeColor="text1"/>
        </w:rPr>
        <w:t xml:space="preserve">» </w:t>
      </w:r>
      <w:r w:rsidRPr="00E827F2">
        <w:rPr>
          <w:color w:val="000000" w:themeColor="text1"/>
        </w:rPr>
        <w:t>на 28.01.2022 не завершены работы по капитальному ремонт: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Крыши – ул. </w:t>
      </w:r>
      <w:proofErr w:type="gramStart"/>
      <w:r w:rsidRPr="00E827F2">
        <w:rPr>
          <w:color w:val="000000" w:themeColor="text1"/>
        </w:rPr>
        <w:t>Комсомольская</w:t>
      </w:r>
      <w:proofErr w:type="gramEnd"/>
      <w:r w:rsidRPr="00E827F2">
        <w:rPr>
          <w:color w:val="000000" w:themeColor="text1"/>
        </w:rPr>
        <w:t>, д.12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Фасада – ул. </w:t>
      </w:r>
      <w:proofErr w:type="gramStart"/>
      <w:r w:rsidRPr="00E827F2">
        <w:rPr>
          <w:color w:val="000000" w:themeColor="text1"/>
        </w:rPr>
        <w:t>Солнечная</w:t>
      </w:r>
      <w:proofErr w:type="gramEnd"/>
      <w:r w:rsidRPr="00E827F2">
        <w:rPr>
          <w:color w:val="000000" w:themeColor="text1"/>
        </w:rPr>
        <w:t>, д.25 а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Инженерных сетей – ул. Красных Фортов, д.15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proofErr w:type="spellStart"/>
      <w:r w:rsidRPr="00E827F2">
        <w:rPr>
          <w:color w:val="000000" w:themeColor="text1"/>
        </w:rPr>
        <w:t>Эл</w:t>
      </w:r>
      <w:proofErr w:type="gramStart"/>
      <w:r w:rsidRPr="00E827F2">
        <w:rPr>
          <w:color w:val="000000" w:themeColor="text1"/>
        </w:rPr>
        <w:t>.с</w:t>
      </w:r>
      <w:proofErr w:type="gramEnd"/>
      <w:r w:rsidRPr="00E827F2">
        <w:rPr>
          <w:color w:val="000000" w:themeColor="text1"/>
        </w:rPr>
        <w:t>ети</w:t>
      </w:r>
      <w:proofErr w:type="spellEnd"/>
      <w:r w:rsidRPr="00E827F2">
        <w:rPr>
          <w:color w:val="000000" w:themeColor="text1"/>
        </w:rPr>
        <w:t xml:space="preserve"> - ул. Комсомольская, д.12, ул. Ленинградская, д.8, ул. Ленинская, д.1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Подрядная организация </w:t>
      </w:r>
      <w:r w:rsidRPr="00E827F2">
        <w:rPr>
          <w:b/>
          <w:color w:val="000000" w:themeColor="text1"/>
        </w:rPr>
        <w:t>АО «ЩЛЗ»</w:t>
      </w:r>
      <w:r w:rsidRPr="00E827F2">
        <w:rPr>
          <w:color w:val="000000" w:themeColor="text1"/>
        </w:rPr>
        <w:t xml:space="preserve"> - выполнила капитальный ремонт лифтового оборудования в многоквартирных домах ул. Парковая, д.70, ул. Ленинградская, д.38, с нарушением срока в 1 месяц.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Краткосрочный план реализации в 2021 году реализован на территории Сосновоборского городского округа с низким процентом (13%), о чем администрация Сосновоборского городского округа сигнализировала в Комитет по ЖКХ Ленинградской области и Региональному оператору.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</w:p>
    <w:p w:rsidR="005B2B2D" w:rsidRPr="00E827F2" w:rsidRDefault="005B2B2D" w:rsidP="005B2B2D">
      <w:pPr>
        <w:jc w:val="center"/>
        <w:rPr>
          <w:rFonts w:eastAsia="Times New Roman"/>
          <w:b/>
          <w:bCs/>
          <w:lang w:eastAsia="ru-RU"/>
        </w:rPr>
      </w:pPr>
      <w:r w:rsidRPr="00E827F2">
        <w:rPr>
          <w:rFonts w:eastAsia="Times New Roman"/>
          <w:b/>
          <w:bCs/>
          <w:lang w:eastAsia="ru-RU"/>
        </w:rPr>
        <w:t>Показатели</w:t>
      </w: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домами: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Фактическое значение показателя в 2021 году составило 98,50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Cs/>
          <w:color w:val="000000" w:themeColor="text1"/>
          <w:lang w:eastAsia="ru-RU"/>
        </w:rPr>
        <w:t>%.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Значение показателя по прогнозу на 2022-2024 годы составит 98,50 %.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28. Доля организаций коммунального комплекса, осуществляющих производство товаров, оказание услуг по </w:t>
      </w:r>
      <w:proofErr w:type="spellStart"/>
      <w:r w:rsidRPr="00E827F2">
        <w:rPr>
          <w:rFonts w:eastAsia="Times New Roman"/>
          <w:b/>
          <w:bCs/>
          <w:color w:val="000000" w:themeColor="text1"/>
          <w:lang w:eastAsia="ru-RU"/>
        </w:rPr>
        <w:t>водо</w:t>
      </w:r>
      <w:proofErr w:type="spellEnd"/>
      <w:r w:rsidRPr="00E827F2">
        <w:rPr>
          <w:rFonts w:eastAsia="Times New Roman"/>
          <w:b/>
          <w:bCs/>
          <w:color w:val="000000" w:themeColor="text1"/>
          <w:lang w:eastAsia="ru-RU"/>
        </w:rPr>
        <w:t>-, тепл</w:t>
      </w:r>
      <w:proofErr w:type="gramStart"/>
      <w:r w:rsidRPr="00E827F2">
        <w:rPr>
          <w:rFonts w:eastAsia="Times New Roman"/>
          <w:b/>
          <w:bCs/>
          <w:color w:val="000000" w:themeColor="text1"/>
          <w:lang w:eastAsia="ru-RU"/>
        </w:rPr>
        <w:t>о-</w:t>
      </w:r>
      <w:proofErr w:type="gramEnd"/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, </w:t>
      </w:r>
      <w:proofErr w:type="spellStart"/>
      <w:r w:rsidRPr="00E827F2">
        <w:rPr>
          <w:rFonts w:eastAsia="Times New Roman"/>
          <w:b/>
          <w:bCs/>
          <w:color w:val="000000" w:themeColor="text1"/>
          <w:lang w:eastAsia="ru-RU"/>
        </w:rPr>
        <w:t>газо</w:t>
      </w:r>
      <w:proofErr w:type="spellEnd"/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E827F2">
        <w:rPr>
          <w:rFonts w:eastAsia="Times New Roman"/>
          <w:b/>
          <w:bCs/>
          <w:color w:val="000000" w:themeColor="text1"/>
          <w:lang w:eastAsia="ru-RU"/>
        </w:rPr>
        <w:t>осуществляющих</w:t>
      </w:r>
      <w:proofErr w:type="gramEnd"/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 свою деятельность на территории городского округа.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lastRenderedPageBreak/>
        <w:t>Фактическое значение показателя в 2021 году составило 81,8 %.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Значение показателя по прогнозу на 2022-2024 годы планируется на уровне 86,9 %.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B0F0"/>
          <w:lang w:eastAsia="ru-RU"/>
        </w:rPr>
      </w:pPr>
    </w:p>
    <w:p w:rsidR="005B2B2D" w:rsidRPr="00E827F2" w:rsidRDefault="005B2B2D" w:rsidP="005B2B2D">
      <w:pPr>
        <w:ind w:firstLine="708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color w:val="000000" w:themeColor="text1"/>
        </w:rPr>
        <w:t xml:space="preserve">На территории Сосновоборского городского округа зарегистрировано 345 многоквартирных жилых домов. На кадастровый учет под ними поставлено 138 земельных участков. </w:t>
      </w:r>
      <w:r w:rsidRPr="00E827F2">
        <w:rPr>
          <w:rFonts w:eastAsia="Times New Roman"/>
          <w:color w:val="000000" w:themeColor="text1"/>
          <w:lang w:eastAsia="ru-RU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учет, в 2021 году составила 40 %, что совпадает с уровнем 2020 года – 40 %.</w:t>
      </w:r>
    </w:p>
    <w:p w:rsidR="005B2B2D" w:rsidRPr="00E827F2" w:rsidRDefault="005B2B2D" w:rsidP="005B2B2D">
      <w:pPr>
        <w:keepNext/>
        <w:ind w:firstLine="567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 xml:space="preserve">В 2022 году планируется проведение комплексных кадастровых работ в 4,4а и 4б </w:t>
      </w:r>
      <w:proofErr w:type="spellStart"/>
      <w:r w:rsidRPr="00E827F2">
        <w:rPr>
          <w:color w:val="000000" w:themeColor="text1"/>
        </w:rPr>
        <w:t>мкр</w:t>
      </w:r>
      <w:proofErr w:type="spellEnd"/>
      <w:r w:rsidRPr="00E827F2">
        <w:rPr>
          <w:color w:val="000000" w:themeColor="text1"/>
        </w:rPr>
        <w:t xml:space="preserve">. города, на кадастровый учет дополнительно встанет 31 земельный участок под многоквартирными жилыми домами.  В 2023 году планируется проведение комплексных кадастровых работ в 3, 8 и 9 </w:t>
      </w:r>
      <w:proofErr w:type="spellStart"/>
      <w:r w:rsidRPr="00E827F2">
        <w:rPr>
          <w:color w:val="000000" w:themeColor="text1"/>
        </w:rPr>
        <w:t>мкр</w:t>
      </w:r>
      <w:proofErr w:type="spellEnd"/>
      <w:r w:rsidRPr="00E827F2">
        <w:rPr>
          <w:color w:val="000000" w:themeColor="text1"/>
        </w:rPr>
        <w:t xml:space="preserve">. города, на кадастровый учет дополнительно встанет 83 земельных участков под многоквартирными жилыми домами.   В 2024 году планируется проведение комплексных кадастровых работ в 7 </w:t>
      </w:r>
      <w:proofErr w:type="spellStart"/>
      <w:r w:rsidRPr="00E827F2">
        <w:rPr>
          <w:color w:val="000000" w:themeColor="text1"/>
        </w:rPr>
        <w:t>мкр</w:t>
      </w:r>
      <w:proofErr w:type="spellEnd"/>
      <w:r w:rsidRPr="00E827F2">
        <w:rPr>
          <w:color w:val="000000" w:themeColor="text1"/>
        </w:rPr>
        <w:t>. города, на кадастровый учет дополнительно встанет 39 земельных участков под многоквартирными жилыми домами. Также в 2024 году в эксплуатацию планируется ввести 2 многоквартирных жилых дома,  доведя число многоквартирных  домов  до 347.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результате значение показателя составит: в 2022 году – 49 %, в 2023 году – 73 %, в 2024 году – 84 %.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b/>
          <w:color w:val="000000" w:themeColor="text1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30. </w:t>
      </w:r>
      <w:proofErr w:type="gramStart"/>
      <w:r w:rsidRPr="00E827F2">
        <w:rPr>
          <w:b/>
          <w:color w:val="000000" w:themeColor="text1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5B2B2D" w:rsidRPr="00E827F2" w:rsidRDefault="005B2B2D" w:rsidP="005B2B2D">
      <w:pPr>
        <w:ind w:firstLine="709"/>
        <w:rPr>
          <w:b/>
          <w:color w:val="000000" w:themeColor="text1"/>
        </w:rPr>
      </w:pPr>
      <w:r w:rsidRPr="00E827F2">
        <w:rPr>
          <w:color w:val="000000" w:themeColor="text1"/>
        </w:rPr>
        <w:t>Фактическое значение показателя за 2021 год составило 4,39 % от численности населения, состоящего на учете, что выше  ранее планируемого уровня  (3 %).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период: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На 2022-2024 годы планируется значение показателя, равное 3,0 %.</w:t>
      </w:r>
    </w:p>
    <w:p w:rsidR="005B2B2D" w:rsidRPr="00E827F2" w:rsidRDefault="005B2B2D" w:rsidP="005B2B2D">
      <w:pPr>
        <w:ind w:firstLine="708"/>
      </w:pPr>
      <w:r w:rsidRPr="00E827F2">
        <w:t xml:space="preserve"> </w:t>
      </w:r>
    </w:p>
    <w:p w:rsidR="005B2B2D" w:rsidRPr="00E827F2" w:rsidRDefault="005B2B2D" w:rsidP="005B2B2D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E827F2">
        <w:rPr>
          <w:rFonts w:eastAsia="Times New Roman"/>
          <w:b/>
          <w:color w:val="000000" w:themeColor="text1"/>
          <w:lang w:val="en-US" w:eastAsia="ru-RU"/>
        </w:rPr>
        <w:t>VIII</w:t>
      </w:r>
      <w:r w:rsidRPr="00E827F2">
        <w:rPr>
          <w:rFonts w:eastAsia="Times New Roman"/>
          <w:b/>
          <w:color w:val="000000" w:themeColor="text1"/>
          <w:lang w:eastAsia="ru-RU"/>
        </w:rPr>
        <w:t>. Организация муниципального управления</w:t>
      </w:r>
    </w:p>
    <w:p w:rsidR="005B2B2D" w:rsidRPr="00E827F2" w:rsidRDefault="005B2B2D" w:rsidP="005B2B2D">
      <w:pPr>
        <w:jc w:val="center"/>
        <w:rPr>
          <w:rFonts w:eastAsia="Times New Roman"/>
          <w:b/>
          <w:color w:val="000000" w:themeColor="text1"/>
          <w:lang w:bidi="en-US"/>
        </w:rPr>
      </w:pPr>
      <w:r w:rsidRPr="00E827F2">
        <w:rPr>
          <w:rFonts w:eastAsia="Times New Roman"/>
          <w:b/>
          <w:color w:val="000000" w:themeColor="text1"/>
          <w:lang w:bidi="en-US"/>
        </w:rPr>
        <w:t>Характеристика</w:t>
      </w:r>
      <w:r w:rsidRPr="00E827F2">
        <w:rPr>
          <w:rFonts w:eastAsia="Times New Roman"/>
          <w:b/>
          <w:caps/>
          <w:color w:val="000000" w:themeColor="text1"/>
          <w:lang w:bidi="en-US"/>
        </w:rPr>
        <w:t xml:space="preserve"> </w:t>
      </w:r>
      <w:r w:rsidRPr="00E827F2">
        <w:rPr>
          <w:rFonts w:eastAsia="Times New Roman"/>
          <w:b/>
          <w:color w:val="000000" w:themeColor="text1"/>
          <w:lang w:bidi="en-US"/>
        </w:rPr>
        <w:t>отрасли</w:t>
      </w:r>
      <w:bookmarkStart w:id="2" w:name="_Toc349139865"/>
    </w:p>
    <w:p w:rsidR="005B2B2D" w:rsidRPr="00E827F2" w:rsidRDefault="005B2B2D" w:rsidP="005B2B2D">
      <w:pPr>
        <w:jc w:val="center"/>
        <w:rPr>
          <w:rFonts w:eastAsia="Times New Roman"/>
          <w:b/>
          <w:caps/>
          <w:color w:val="000000" w:themeColor="text1"/>
          <w:lang w:bidi="en-US"/>
        </w:rPr>
      </w:pPr>
    </w:p>
    <w:p w:rsidR="005B2B2D" w:rsidRPr="00E827F2" w:rsidRDefault="005B2B2D" w:rsidP="005B2B2D">
      <w:pPr>
        <w:ind w:firstLine="709"/>
        <w:rPr>
          <w:color w:val="000000" w:themeColor="text1"/>
        </w:rPr>
      </w:pPr>
      <w:bookmarkStart w:id="3" w:name="_Toc284574128"/>
      <w:bookmarkStart w:id="4" w:name="_Toc349139856"/>
      <w:bookmarkEnd w:id="2"/>
      <w:proofErr w:type="gramStart"/>
      <w:r w:rsidRPr="00E827F2">
        <w:rPr>
          <w:b/>
          <w:bCs/>
          <w:color w:val="000000" w:themeColor="text1"/>
        </w:rPr>
        <w:t>Поступления в бюджетную систему</w:t>
      </w:r>
      <w:r w:rsidRPr="00E827F2">
        <w:rPr>
          <w:color w:val="000000" w:themeColor="text1"/>
        </w:rPr>
        <w:t xml:space="preserve"> в течение 2021 года налоговых доходов по данным Межрайонной ИФНС России № 3 по Ленинградской области (на основании письма ФНС России от 18.05.2018 № БА-4-1/9482) «О направлении Порядка подготовки информации финансовым органам» предоставлена информация о поступлении налоговых доходов в областной и местный бюджеты) составили 7 843 867 тыс. руб., в том числе в  областной бюджет – 6 493</w:t>
      </w:r>
      <w:proofErr w:type="gramEnd"/>
      <w:r w:rsidRPr="00E827F2">
        <w:rPr>
          <w:color w:val="000000" w:themeColor="text1"/>
        </w:rPr>
        <w:t xml:space="preserve"> 967 тыс. руб. (82,8 %), в местный бюджет –  1 349 900 тыс. руб. (17,2 %).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По сравнению с итогами 2020 года отмечается увеличение поступлений налоговых платежей в областной и местный бюджеты на 146 294  тыс. руб. или на 1,9 %.</w:t>
      </w:r>
    </w:p>
    <w:p w:rsidR="005B2B2D" w:rsidRPr="00E827F2" w:rsidRDefault="005B2B2D" w:rsidP="005B2B2D">
      <w:pPr>
        <w:pStyle w:val="211"/>
        <w:numPr>
          <w:ilvl w:val="12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>По налогу на доходы физических лиц сумма поступлений в местный бюджет составили 981 857,6 тыс. руб., что на 1 594,7 тыс. руб. или на 0,2 % меньше поступлений 2020 года.</w:t>
      </w:r>
    </w:p>
    <w:p w:rsidR="005B2B2D" w:rsidRPr="00E827F2" w:rsidRDefault="005B2B2D" w:rsidP="005B2B2D">
      <w:pPr>
        <w:pStyle w:val="211"/>
        <w:numPr>
          <w:ilvl w:val="12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r w:rsidRPr="00E827F2">
        <w:rPr>
          <w:color w:val="000000" w:themeColor="text1"/>
          <w:szCs w:val="24"/>
        </w:rPr>
        <w:t xml:space="preserve">По земельному налогу сумма поступлений составила </w:t>
      </w:r>
      <w:r w:rsidRPr="00E827F2">
        <w:rPr>
          <w:bCs/>
          <w:color w:val="000000" w:themeColor="text1"/>
          <w:szCs w:val="24"/>
        </w:rPr>
        <w:t>114 525,7</w:t>
      </w:r>
      <w:r w:rsidRPr="00E827F2">
        <w:rPr>
          <w:color w:val="000000" w:themeColor="text1"/>
          <w:szCs w:val="24"/>
        </w:rPr>
        <w:t xml:space="preserve"> тыс. руб., что на 2 890,8 тыс.  руб., или на 2,6 % больше поступлений прошлого года.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  По данным Комитета Финансов Ленинградской области сумма недоимки по налогам в местный бюджет по состоянию на 01.01.2022 составила 23 285,4   тыс. руб.</w:t>
      </w:r>
      <w:r w:rsidRPr="00E827F2">
        <w:rPr>
          <w:color w:val="000000" w:themeColor="text1"/>
        </w:rPr>
        <w:tab/>
      </w:r>
    </w:p>
    <w:p w:rsidR="005B2B2D" w:rsidRPr="00E827F2" w:rsidRDefault="005B2B2D" w:rsidP="005B2B2D">
      <w:pPr>
        <w:pStyle w:val="211"/>
        <w:numPr>
          <w:ilvl w:val="12"/>
          <w:numId w:val="0"/>
        </w:numPr>
        <w:spacing w:line="276" w:lineRule="auto"/>
        <w:ind w:firstLine="709"/>
        <w:rPr>
          <w:color w:val="000000" w:themeColor="text1"/>
          <w:szCs w:val="24"/>
        </w:rPr>
      </w:pPr>
      <w:r w:rsidRPr="00E827F2">
        <w:rPr>
          <w:b/>
          <w:color w:val="000000" w:themeColor="text1"/>
          <w:szCs w:val="24"/>
        </w:rPr>
        <w:t>Исполнение бюджета Сосновоборского городского округа по доходам</w:t>
      </w:r>
      <w:r w:rsidRPr="00E827F2">
        <w:rPr>
          <w:color w:val="000000" w:themeColor="text1"/>
          <w:szCs w:val="24"/>
        </w:rPr>
        <w:t xml:space="preserve"> за 2021 год составило 3 133 438,4 </w:t>
      </w:r>
      <w:r w:rsidRPr="00E827F2">
        <w:rPr>
          <w:bCs/>
          <w:color w:val="000000" w:themeColor="text1"/>
          <w:szCs w:val="24"/>
        </w:rPr>
        <w:t>тыс. руб.</w:t>
      </w:r>
      <w:r w:rsidRPr="00E827F2">
        <w:rPr>
          <w:color w:val="000000" w:themeColor="text1"/>
          <w:szCs w:val="24"/>
        </w:rPr>
        <w:t xml:space="preserve"> или 95,1% к плану на год, что на 4,9 % больше, чем исполнение бюджета Сосновоборского городского округа по доходам за 2020 год.    </w:t>
      </w:r>
    </w:p>
    <w:p w:rsidR="005B2B2D" w:rsidRPr="00E827F2" w:rsidRDefault="005B2B2D" w:rsidP="005B2B2D">
      <w:pPr>
        <w:pStyle w:val="21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>Основными доходными источниками местного бюджета являются:</w:t>
      </w:r>
    </w:p>
    <w:p w:rsidR="005B2B2D" w:rsidRPr="00E827F2" w:rsidRDefault="005B2B2D" w:rsidP="005B2B2D">
      <w:pPr>
        <w:pStyle w:val="21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827F2">
        <w:rPr>
          <w:color w:val="000000" w:themeColor="text1"/>
          <w:sz w:val="24"/>
          <w:szCs w:val="24"/>
        </w:rPr>
        <w:t xml:space="preserve">- налог на доходы физических лиц – </w:t>
      </w:r>
      <w:r w:rsidRPr="00E827F2">
        <w:rPr>
          <w:bCs/>
          <w:color w:val="000000" w:themeColor="text1"/>
          <w:sz w:val="24"/>
          <w:szCs w:val="24"/>
        </w:rPr>
        <w:t xml:space="preserve">981 857,6 </w:t>
      </w:r>
      <w:r w:rsidRPr="00E827F2">
        <w:rPr>
          <w:color w:val="000000" w:themeColor="text1"/>
          <w:sz w:val="24"/>
          <w:szCs w:val="24"/>
        </w:rPr>
        <w:t xml:space="preserve">тыс. руб., его удельный вес составил 60,2%  от суммы собственных доходов,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lastRenderedPageBreak/>
        <w:t>- налоги на совокупный доход – 225 960,8 тыс. руб., их удельный вес составил 13,9% от суммы собственных доходов,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proofErr w:type="gramStart"/>
      <w:r w:rsidRPr="00E827F2">
        <w:rPr>
          <w:color w:val="000000" w:themeColor="text1"/>
        </w:rPr>
        <w:t>-доходы, получаемые в виде арендной платы за земельные участки, государственная</w:t>
      </w:r>
      <w:r w:rsidRPr="00E827F2">
        <w:rPr>
          <w:color w:val="00B0F0"/>
        </w:rPr>
        <w:t xml:space="preserve"> </w:t>
      </w:r>
      <w:r w:rsidRPr="00E827F2">
        <w:rPr>
          <w:color w:val="000000" w:themeColor="text1"/>
        </w:rPr>
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128 094,1 тыс. руб. их удельный вес составил 7,9% от суммы собственных доходов,</w:t>
      </w:r>
      <w:proofErr w:type="gramEnd"/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- земельный налог – 114 525,7 тыс. руб. его удельный вес составил 7,0% от суммы собственных доходов, 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color w:val="000000" w:themeColor="text1"/>
        </w:rPr>
        <w:t>- доходы от реализации иного имущества, находящегося в собственности городских округов, в части реализации основных средств по указанному имуществу – 41 523,4 тыс. руб. их удельный вес составил 2,5% от суммы собственных доходов.</w:t>
      </w:r>
    </w:p>
    <w:p w:rsidR="005B2B2D" w:rsidRPr="00E827F2" w:rsidRDefault="005B2B2D" w:rsidP="005B2B2D">
      <w:pPr>
        <w:ind w:firstLine="709"/>
        <w:rPr>
          <w:color w:val="000000" w:themeColor="text1"/>
        </w:rPr>
      </w:pPr>
      <w:r w:rsidRPr="00E827F2">
        <w:rPr>
          <w:b/>
          <w:bCs/>
          <w:color w:val="000000" w:themeColor="text1"/>
        </w:rPr>
        <w:t>Исполнение по расходам</w:t>
      </w:r>
      <w:r w:rsidRPr="00E827F2">
        <w:rPr>
          <w:color w:val="000000" w:themeColor="text1"/>
        </w:rPr>
        <w:t xml:space="preserve"> за 2021 год составило 3 333 126,7 </w:t>
      </w:r>
      <w:r w:rsidRPr="00E827F2">
        <w:rPr>
          <w:bCs/>
          <w:color w:val="000000" w:themeColor="text1"/>
        </w:rPr>
        <w:t>тыс. руб., или 92,6</w:t>
      </w:r>
      <w:r w:rsidRPr="00E827F2">
        <w:rPr>
          <w:color w:val="000000" w:themeColor="text1"/>
        </w:rPr>
        <w:t xml:space="preserve"> % к плану года, что на 12,2 % больше, чем за 2020 год. 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E827F2">
        <w:rPr>
          <w:color w:val="000000" w:themeColor="text1"/>
        </w:rPr>
        <w:t>Основными причинами неисполнения плановых назначений по подразделам являются: заключение муниципальных контрактов и договоров на суммы меньше запланированных (экономия); поступление межбюджетных трансфертов по фактически сложившимся расходам; поступление межбюджетных трансфертов в конце года; оплата расходов местного бюджета (собственные средства) по фактически предъявленным к оплате документам, переходящие муниципальные контракты.</w:t>
      </w:r>
    </w:p>
    <w:p w:rsidR="005B2B2D" w:rsidRPr="00E827F2" w:rsidRDefault="005B2B2D" w:rsidP="005B2B2D">
      <w:pPr>
        <w:pStyle w:val="21"/>
        <w:spacing w:after="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827F2">
        <w:rPr>
          <w:b/>
          <w:bCs/>
          <w:color w:val="000000" w:themeColor="text1"/>
          <w:sz w:val="24"/>
          <w:szCs w:val="24"/>
        </w:rPr>
        <w:t>Бюджетная обеспеченность</w:t>
      </w:r>
      <w:r w:rsidRPr="00E827F2">
        <w:rPr>
          <w:color w:val="000000" w:themeColor="text1"/>
          <w:sz w:val="24"/>
          <w:szCs w:val="24"/>
        </w:rPr>
        <w:t xml:space="preserve"> на 1 жителя по доходам за 2021 год составляет 47 119,4 руб., или 105,8 % к уровню 2020 года, по расходам – 50 122,21 руб., или 113,7 % к уровню 2020 года.</w:t>
      </w:r>
    </w:p>
    <w:bookmarkEnd w:id="3"/>
    <w:bookmarkEnd w:id="4"/>
    <w:p w:rsidR="005B2B2D" w:rsidRPr="00E827F2" w:rsidRDefault="005B2B2D" w:rsidP="005B2B2D">
      <w:pPr>
        <w:rPr>
          <w:color w:val="000000" w:themeColor="text1"/>
        </w:rPr>
      </w:pPr>
      <w:r w:rsidRPr="00E827F2">
        <w:rPr>
          <w:color w:val="000000" w:themeColor="text1"/>
        </w:rPr>
        <w:t xml:space="preserve">            В отчетном периоде реализовывались мероприятия 10 </w:t>
      </w:r>
      <w:r w:rsidRPr="00E827F2">
        <w:rPr>
          <w:bCs/>
          <w:color w:val="000000" w:themeColor="text1"/>
        </w:rPr>
        <w:t>муниципальных программ Сосновоборского городского округа,</w:t>
      </w:r>
      <w:r w:rsidRPr="00E827F2">
        <w:rPr>
          <w:b/>
          <w:bCs/>
          <w:color w:val="000000" w:themeColor="text1"/>
        </w:rPr>
        <w:t xml:space="preserve"> </w:t>
      </w:r>
      <w:r w:rsidRPr="00E827F2">
        <w:rPr>
          <w:bCs/>
          <w:color w:val="000000" w:themeColor="text1"/>
        </w:rPr>
        <w:t>по всем программам осуществлялось финансирование,</w:t>
      </w:r>
      <w:r w:rsidRPr="00E827F2">
        <w:rPr>
          <w:color w:val="000000" w:themeColor="text1"/>
        </w:rPr>
        <w:t xml:space="preserve"> исполнение за 2021 год составило 2 939 162,2 тыс. руб., или 91,8 % от годовых плановых назначений (3 201 660,6 тыс. руб.).</w:t>
      </w:r>
    </w:p>
    <w:p w:rsidR="005B2B2D" w:rsidRPr="00E827F2" w:rsidRDefault="005B2B2D" w:rsidP="005B2B2D">
      <w:pPr>
        <w:rPr>
          <w:bCs/>
          <w:color w:val="000000" w:themeColor="text1"/>
        </w:rPr>
      </w:pPr>
      <w:r w:rsidRPr="00E827F2">
        <w:rPr>
          <w:color w:val="000000" w:themeColor="text1"/>
        </w:rPr>
        <w:t xml:space="preserve">           Удельный вес расходов по муниципальным программам в расходах бюджета за 2021 год</w:t>
      </w:r>
      <w:r w:rsidRPr="00E827F2">
        <w:rPr>
          <w:bCs/>
          <w:color w:val="000000" w:themeColor="text1"/>
        </w:rPr>
        <w:t xml:space="preserve">, предусмотренных к финансированию за счет средств местного, областного и федерального бюджетов составил  88,2% (в 2020 году- 87,3%). </w:t>
      </w:r>
    </w:p>
    <w:p w:rsidR="005B2B2D" w:rsidRPr="00E827F2" w:rsidRDefault="005B2B2D" w:rsidP="005B2B2D">
      <w:pPr>
        <w:ind w:firstLine="709"/>
      </w:pPr>
    </w:p>
    <w:p w:rsidR="005B2B2D" w:rsidRPr="00E827F2" w:rsidRDefault="005B2B2D" w:rsidP="005B2B2D">
      <w:pPr>
        <w:jc w:val="center"/>
        <w:rPr>
          <w:rFonts w:eastAsia="Times New Roman"/>
          <w:b/>
          <w:bCs/>
          <w:lang w:eastAsia="ru-RU"/>
        </w:rPr>
      </w:pPr>
      <w:r w:rsidRPr="00E827F2">
        <w:rPr>
          <w:rFonts w:eastAsia="Times New Roman"/>
          <w:b/>
          <w:bCs/>
          <w:lang w:eastAsia="ru-RU"/>
        </w:rPr>
        <w:t>Показатели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31.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E827F2">
        <w:rPr>
          <w:rFonts w:eastAsia="Times New Roman"/>
          <w:bCs/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709"/>
        <w:rPr>
          <w:bCs/>
          <w:color w:val="000000" w:themeColor="text1"/>
        </w:rPr>
      </w:pPr>
      <w:r w:rsidRPr="00E827F2">
        <w:rPr>
          <w:bCs/>
          <w:color w:val="000000" w:themeColor="text1"/>
        </w:rPr>
        <w:t>В 2021 году значение показателя составило 78,13 %, что меньше 2020 года на 11,1%.</w:t>
      </w:r>
    </w:p>
    <w:p w:rsidR="005B2B2D" w:rsidRPr="00E827F2" w:rsidRDefault="005B2B2D" w:rsidP="005B2B2D">
      <w:pPr>
        <w:ind w:firstLine="709"/>
        <w:rPr>
          <w:bCs/>
          <w:color w:val="000000" w:themeColor="text1"/>
        </w:rPr>
      </w:pPr>
      <w:proofErr w:type="gramStart"/>
      <w:r w:rsidRPr="00E827F2">
        <w:rPr>
          <w:bCs/>
          <w:color w:val="000000" w:themeColor="text1"/>
        </w:rPr>
        <w:t>В 2022 году значение показателя планируется с увеличением по отношению к 2021 году на  2,2%, в 2023 году увеличение на 13,6% по отношению к 2021 году, а в 2024 году рост на 10,9% по отношению к 2021 году.</w:t>
      </w:r>
      <w:proofErr w:type="gramEnd"/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Организации муниципальной формы собственности, находящиеся в стадии банкротства, в 2019-2021 годах отсутствовали. Значение показателя равно 0.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2022-2024 гг. ожидается нулевое значение данного показателя.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keepNext/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33.</w:t>
      </w:r>
      <w:r w:rsidRPr="00E827F2">
        <w:rPr>
          <w:color w:val="000000" w:themeColor="text1"/>
          <w:lang w:eastAsia="ru-RU"/>
        </w:rPr>
        <w:t xml:space="preserve"> </w:t>
      </w:r>
      <w:r w:rsidRPr="00E827F2">
        <w:rPr>
          <w:b/>
          <w:color w:val="000000" w:themeColor="text1"/>
          <w:lang w:eastAsia="ru-RU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Pr="00E827F2">
        <w:rPr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698"/>
        <w:rPr>
          <w:color w:val="000000" w:themeColor="text1"/>
        </w:rPr>
      </w:pPr>
      <w:r w:rsidRPr="00E827F2">
        <w:rPr>
          <w:color w:val="000000" w:themeColor="text1"/>
        </w:rPr>
        <w:t>В 2021 году объем не завершенного в установленные сроки строительства, осуществляемого за счет средств бюджета городского округа, составил 27642,48 тыс. руб., что выше уровня 2020 года (23 782,49 тыс. руб.).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proofErr w:type="gramStart"/>
      <w:r w:rsidRPr="00E827F2">
        <w:rPr>
          <w:rFonts w:eastAsia="Times New Roman"/>
          <w:color w:val="000000" w:themeColor="text1"/>
          <w:lang w:eastAsia="ru-RU"/>
        </w:rPr>
        <w:t>П</w:t>
      </w:r>
      <w:r w:rsidRPr="00E827F2">
        <w:rPr>
          <w:color w:val="000000" w:themeColor="text1"/>
        </w:rPr>
        <w:t>рогнозируемый объем незавершенного строительства: 2022 год – 14 190,93 тыс. руб., 2023 год – 35 600 тыс. руб., 2024 год – 32 400 тыс. руб.</w:t>
      </w:r>
      <w:proofErr w:type="gramEnd"/>
    </w:p>
    <w:p w:rsidR="005B2B2D" w:rsidRPr="00E827F2" w:rsidRDefault="005B2B2D" w:rsidP="005B2B2D">
      <w:pPr>
        <w:ind w:firstLine="698"/>
      </w:pP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34.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Pr="00E827F2">
        <w:rPr>
          <w:rFonts w:eastAsia="Times New Roman"/>
          <w:bCs/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Значение показателя в 2021 году, как и в 2020 году, составило 0 %.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2021-2023 годах прогнозируется нулевое значение показателя.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35.</w:t>
      </w:r>
      <w:r w:rsidRPr="00E827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bCs/>
          <w:color w:val="000000" w:themeColor="text1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E827F2">
        <w:rPr>
          <w:rFonts w:eastAsia="Times New Roman"/>
          <w:bCs/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709"/>
        <w:rPr>
          <w:bCs/>
          <w:color w:val="000000" w:themeColor="text1"/>
        </w:rPr>
      </w:pPr>
      <w:proofErr w:type="gramStart"/>
      <w:r w:rsidRPr="00E827F2">
        <w:rPr>
          <w:bCs/>
          <w:color w:val="000000" w:themeColor="text1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по КВР 121,129 (без учета федеральных средств) по форме № 0503387 «Справочная таблица к отчету об исполнении консолидированного бюджета» по состоянию на 01.01.2022 (факт) для расчета значения показателя за 2021 год</w:t>
      </w:r>
      <w:proofErr w:type="gramEnd"/>
      <w:r w:rsidRPr="00E827F2">
        <w:rPr>
          <w:bCs/>
          <w:color w:val="000000" w:themeColor="text1"/>
        </w:rPr>
        <w:t xml:space="preserve"> и по состоянию на 01.04.2022 (план) для расчета значения показателя на 2022, 2023, 2024гг к среднегодовой численности постоянного населения муниципального образования (показатель №38 «Среднегодовая численность постоянного населения», согласованный в АИС). В 2021 году данный показатель составил 2661,94 руб., по сравнению с 2020 годом увеличение на 9,4 %.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8"/>
        <w:rPr>
          <w:bCs/>
          <w:color w:val="000000" w:themeColor="text1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Значение показателя </w:t>
      </w:r>
      <w:r w:rsidRPr="00E827F2">
        <w:rPr>
          <w:bCs/>
          <w:color w:val="000000" w:themeColor="text1"/>
        </w:rPr>
        <w:t xml:space="preserve">в 2022-2024 годах </w:t>
      </w:r>
      <w:r w:rsidRPr="00E827F2">
        <w:rPr>
          <w:rFonts w:eastAsia="Times New Roman"/>
          <w:bCs/>
          <w:color w:val="000000" w:themeColor="text1"/>
          <w:lang w:eastAsia="ru-RU"/>
        </w:rPr>
        <w:t>планируется</w:t>
      </w:r>
      <w:r w:rsidRPr="00E827F2">
        <w:rPr>
          <w:bCs/>
          <w:color w:val="000000" w:themeColor="text1"/>
        </w:rPr>
        <w:t xml:space="preserve"> с уменьшением от 2,4 % в 2022 году и увеличением до 4,7 % в 2024 году по отношению к расходам 2021 года.</w:t>
      </w:r>
    </w:p>
    <w:p w:rsidR="005B2B2D" w:rsidRPr="00E827F2" w:rsidRDefault="005B2B2D" w:rsidP="005B2B2D">
      <w:pPr>
        <w:ind w:firstLine="708"/>
        <w:rPr>
          <w:rFonts w:eastAsia="Times New Roman"/>
          <w:bCs/>
          <w:color w:val="00B0F0"/>
          <w:lang w:eastAsia="ru-RU"/>
        </w:rPr>
      </w:pPr>
    </w:p>
    <w:p w:rsidR="005B2B2D" w:rsidRPr="00E827F2" w:rsidRDefault="005B2B2D" w:rsidP="005B2B2D">
      <w:pPr>
        <w:ind w:firstLine="567"/>
        <w:rPr>
          <w:b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36.</w:t>
      </w:r>
      <w:r w:rsidRPr="00E827F2">
        <w:rPr>
          <w:rFonts w:eastAsia="Times New Roman"/>
          <w:color w:val="000000" w:themeColor="text1"/>
          <w:lang w:eastAsia="ru-RU"/>
        </w:rPr>
        <w:t xml:space="preserve"> </w:t>
      </w:r>
      <w:r w:rsidRPr="00E827F2">
        <w:rPr>
          <w:rFonts w:eastAsia="Times New Roman"/>
          <w:b/>
          <w:color w:val="000000" w:themeColor="text1"/>
          <w:lang w:eastAsia="ru-RU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00E827F2">
        <w:rPr>
          <w:rFonts w:eastAsia="Times New Roman"/>
          <w:color w:val="000000" w:themeColor="text1"/>
          <w:lang w:eastAsia="ru-RU"/>
        </w:rPr>
        <w:t>.</w:t>
      </w:r>
    </w:p>
    <w:p w:rsidR="005B2B2D" w:rsidRPr="00E827F2" w:rsidRDefault="005B2B2D" w:rsidP="005B2B2D">
      <w:pPr>
        <w:ind w:firstLine="567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Актуализированная версия Генерального плана Сосновоборского городского округа утверждена постановлением Правительства Ленинградской области от 10.06.2019 № 261.</w:t>
      </w:r>
    </w:p>
    <w:p w:rsidR="005B2B2D" w:rsidRPr="00E827F2" w:rsidRDefault="005B2B2D" w:rsidP="005B2B2D">
      <w:pPr>
        <w:ind w:firstLine="708"/>
        <w:rPr>
          <w:b/>
          <w:lang w:eastAsia="ru-RU"/>
        </w:rPr>
      </w:pPr>
    </w:p>
    <w:p w:rsidR="005B2B2D" w:rsidRPr="00E827F2" w:rsidRDefault="005B2B2D" w:rsidP="005B2B2D">
      <w:pPr>
        <w:ind w:firstLine="708"/>
        <w:rPr>
          <w:b/>
          <w:lang w:eastAsia="ru-RU"/>
        </w:rPr>
      </w:pPr>
      <w:r w:rsidRPr="00E827F2">
        <w:rPr>
          <w:b/>
          <w:lang w:eastAsia="ru-RU"/>
        </w:rPr>
        <w:t>Показатель 37. Удовлетворенность населения деятельностью органов местного самоуправления городского округа.</w:t>
      </w:r>
    </w:p>
    <w:p w:rsidR="005B2B2D" w:rsidRPr="00E827F2" w:rsidRDefault="005B2B2D" w:rsidP="005B2B2D">
      <w:pPr>
        <w:ind w:firstLine="709"/>
      </w:pPr>
      <w:r w:rsidRPr="00E827F2">
        <w:t xml:space="preserve">В 2021 году составила 83 %, что выше уровня 2020 года (80 %). </w:t>
      </w:r>
    </w:p>
    <w:p w:rsidR="005B2B2D" w:rsidRPr="00E827F2" w:rsidRDefault="005B2B2D" w:rsidP="005B2B2D">
      <w:pPr>
        <w:ind w:firstLine="708"/>
      </w:pPr>
      <w:r w:rsidRPr="00E827F2">
        <w:t>В 2022-2024 годах значение показателя планируется не ниже уровня 2021 года.</w:t>
      </w:r>
    </w:p>
    <w:p w:rsidR="005B2B2D" w:rsidRPr="00E827F2" w:rsidRDefault="005B2B2D" w:rsidP="005B2B2D">
      <w:pPr>
        <w:ind w:firstLine="708"/>
        <w:rPr>
          <w:b/>
          <w:lang w:eastAsia="ru-RU"/>
        </w:rPr>
      </w:pP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38. </w:t>
      </w:r>
      <w:r w:rsidRPr="00E827F2">
        <w:rPr>
          <w:rFonts w:eastAsia="Times New Roman"/>
          <w:b/>
          <w:color w:val="000000" w:themeColor="text1"/>
          <w:lang w:eastAsia="ru-RU"/>
        </w:rPr>
        <w:t>Среднегодовая численность постоянного населения</w:t>
      </w:r>
      <w:r w:rsidRPr="00E827F2">
        <w:rPr>
          <w:rFonts w:eastAsia="Times New Roman"/>
          <w:color w:val="000000" w:themeColor="text1"/>
          <w:lang w:eastAsia="ru-RU"/>
        </w:rPr>
        <w:t>: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2020 году – 67,4 тыс. чел., или 99,1 % к предыдущему году;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- в 2021 году – 66,5 тыс. чел., или 98,7 % к предыдущему году.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 xml:space="preserve">Основными источником изменения среднегодовой численности населения округа являются миграционный прирост (убыль) и естественная убыль населения. 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color w:val="000000" w:themeColor="text1"/>
          <w:lang w:eastAsia="ru-RU"/>
        </w:rPr>
      </w:pPr>
      <w:r w:rsidRPr="00E827F2">
        <w:rPr>
          <w:rFonts w:eastAsia="Times New Roman"/>
          <w:color w:val="000000" w:themeColor="text1"/>
          <w:lang w:eastAsia="ru-RU"/>
        </w:rPr>
        <w:t>В 2022-2024 годах прогнозируется сохранение среднегодовой численности населения на уровне 66,5 – 67,0 тыс. чел.</w:t>
      </w:r>
    </w:p>
    <w:p w:rsidR="005B2B2D" w:rsidRPr="00E827F2" w:rsidRDefault="005B2B2D" w:rsidP="005B2B2D">
      <w:pPr>
        <w:ind w:firstLine="709"/>
        <w:rPr>
          <w:rFonts w:eastAsia="Times New Roman"/>
          <w:lang w:eastAsia="ru-RU"/>
        </w:rPr>
      </w:pPr>
    </w:p>
    <w:p w:rsidR="005B2B2D" w:rsidRPr="00E827F2" w:rsidRDefault="005B2B2D" w:rsidP="005B2B2D">
      <w:pPr>
        <w:keepNext/>
        <w:jc w:val="center"/>
        <w:rPr>
          <w:rFonts w:eastAsia="Times New Roman"/>
          <w:b/>
          <w:lang w:eastAsia="ru-RU"/>
        </w:rPr>
      </w:pPr>
      <w:r w:rsidRPr="00E827F2">
        <w:rPr>
          <w:rFonts w:eastAsia="Times New Roman"/>
          <w:b/>
          <w:lang w:val="en-US" w:eastAsia="ru-RU"/>
        </w:rPr>
        <w:t>IX</w:t>
      </w:r>
      <w:r w:rsidRPr="00E827F2">
        <w:rPr>
          <w:rFonts w:eastAsia="Times New Roman"/>
          <w:b/>
          <w:lang w:eastAsia="ru-RU"/>
        </w:rPr>
        <w:t>. Энергосбережение и повышение энергетической эффективности</w:t>
      </w:r>
    </w:p>
    <w:p w:rsidR="005B2B2D" w:rsidRPr="00E827F2" w:rsidRDefault="005B2B2D" w:rsidP="005B2B2D">
      <w:pPr>
        <w:ind w:firstLine="709"/>
        <w:jc w:val="center"/>
        <w:rPr>
          <w:rFonts w:eastAsia="Times New Roman"/>
          <w:b/>
          <w:lang w:bidi="en-US"/>
        </w:rPr>
      </w:pPr>
      <w:r w:rsidRPr="00E827F2">
        <w:rPr>
          <w:rFonts w:eastAsia="Times New Roman"/>
          <w:b/>
          <w:lang w:bidi="en-US"/>
        </w:rPr>
        <w:t>Характеристика</w:t>
      </w:r>
      <w:r w:rsidRPr="00E827F2">
        <w:rPr>
          <w:rFonts w:eastAsia="Times New Roman"/>
          <w:b/>
          <w:caps/>
          <w:lang w:bidi="en-US"/>
        </w:rPr>
        <w:t xml:space="preserve"> </w:t>
      </w:r>
      <w:r w:rsidRPr="00E827F2">
        <w:rPr>
          <w:rFonts w:eastAsia="Times New Roman"/>
          <w:b/>
          <w:lang w:bidi="en-US"/>
        </w:rPr>
        <w:t>отрасли</w:t>
      </w:r>
    </w:p>
    <w:p w:rsidR="005B2B2D" w:rsidRPr="00E827F2" w:rsidRDefault="005B2B2D" w:rsidP="005B2B2D">
      <w:pPr>
        <w:ind w:firstLine="709"/>
        <w:jc w:val="center"/>
        <w:rPr>
          <w:rFonts w:eastAsia="Times New Roman"/>
          <w:b/>
          <w:caps/>
          <w:lang w:bidi="en-US"/>
        </w:rPr>
      </w:pPr>
    </w:p>
    <w:p w:rsidR="005B2B2D" w:rsidRPr="00E827F2" w:rsidRDefault="005B2B2D" w:rsidP="005B2B2D">
      <w:pPr>
        <w:tabs>
          <w:tab w:val="num" w:pos="-2127"/>
        </w:tabs>
        <w:ind w:firstLine="709"/>
        <w:rPr>
          <w:i/>
          <w:color w:val="000000" w:themeColor="text1"/>
        </w:rPr>
      </w:pPr>
      <w:r w:rsidRPr="00E827F2">
        <w:rPr>
          <w:color w:val="000000" w:themeColor="text1"/>
        </w:rPr>
        <w:t>За 2021 год объем финансирования мероприятий по подпрограмме 7 МП «Городское хозяйство» составил 72 439,49426 тыс. руб. Осуществлены следующие мероприятия:</w:t>
      </w:r>
    </w:p>
    <w:p w:rsidR="005B2B2D" w:rsidRPr="00AF31C4" w:rsidRDefault="005B2B2D" w:rsidP="005B2B2D">
      <w:pPr>
        <w:ind w:firstLine="567"/>
        <w:rPr>
          <w:color w:val="000000" w:themeColor="text1"/>
        </w:rPr>
      </w:pPr>
      <w:r w:rsidRPr="00AF31C4">
        <w:rPr>
          <w:color w:val="000000" w:themeColor="text1"/>
        </w:rPr>
        <w:t>1. В рамках муниципальной программы Сосновоборского городского округа «Городское хозяйство на 2014-2024 годы» запланированы 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на общую сумму 25 877,072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уб.:</w:t>
      </w:r>
    </w:p>
    <w:p w:rsidR="005B2B2D" w:rsidRPr="00AF31C4" w:rsidRDefault="005B2B2D" w:rsidP="005B2B2D">
      <w:pPr>
        <w:tabs>
          <w:tab w:val="num" w:pos="-2127"/>
        </w:tabs>
        <w:ind w:firstLine="567"/>
        <w:rPr>
          <w:color w:val="000000" w:themeColor="text1"/>
        </w:rPr>
      </w:pPr>
      <w:r w:rsidRPr="00AF31C4">
        <w:rPr>
          <w:color w:val="000000" w:themeColor="text1"/>
        </w:rPr>
        <w:lastRenderedPageBreak/>
        <w:t xml:space="preserve">- Выполнены работ по капитальному ремонту водогрейного котла ПТВМ-50 на 24 688 935 </w:t>
      </w:r>
      <w:proofErr w:type="spellStart"/>
      <w:r w:rsidRPr="00AF31C4">
        <w:rPr>
          <w:color w:val="000000" w:themeColor="text1"/>
        </w:rPr>
        <w:t>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</w:t>
      </w:r>
      <w:proofErr w:type="spellEnd"/>
    </w:p>
    <w:p w:rsidR="005B2B2D" w:rsidRPr="00AF31C4" w:rsidRDefault="005B2B2D" w:rsidP="005B2B2D">
      <w:pPr>
        <w:tabs>
          <w:tab w:val="num" w:pos="-2127"/>
        </w:tabs>
        <w:ind w:firstLine="567"/>
        <w:rPr>
          <w:bCs/>
          <w:color w:val="000000" w:themeColor="text1"/>
        </w:rPr>
      </w:pPr>
      <w:r w:rsidRPr="00AF31C4">
        <w:rPr>
          <w:bCs/>
          <w:color w:val="000000" w:themeColor="text1"/>
        </w:rPr>
        <w:t xml:space="preserve">- Выполнены мероприятия по выполнению работ реконструкции трубопровода коллектора в здании 720 на общую сумм 1 168 397 </w:t>
      </w:r>
      <w:proofErr w:type="spellStart"/>
      <w:r w:rsidRPr="00AF31C4">
        <w:rPr>
          <w:bCs/>
          <w:color w:val="000000" w:themeColor="text1"/>
        </w:rPr>
        <w:t>тыс</w:t>
      </w:r>
      <w:proofErr w:type="gramStart"/>
      <w:r w:rsidRPr="00AF31C4">
        <w:rPr>
          <w:bCs/>
          <w:color w:val="000000" w:themeColor="text1"/>
        </w:rPr>
        <w:t>.р</w:t>
      </w:r>
      <w:proofErr w:type="gramEnd"/>
      <w:r w:rsidRPr="00AF31C4">
        <w:rPr>
          <w:bCs/>
          <w:color w:val="000000" w:themeColor="text1"/>
        </w:rPr>
        <w:t>уб</w:t>
      </w:r>
      <w:proofErr w:type="spellEnd"/>
    </w:p>
    <w:p w:rsidR="005B2B2D" w:rsidRPr="00AF31C4" w:rsidRDefault="005B2B2D" w:rsidP="005B2B2D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 w:themeColor="text1"/>
        </w:rPr>
      </w:pPr>
      <w:r w:rsidRPr="00AF31C4">
        <w:rPr>
          <w:color w:val="000000" w:themeColor="text1"/>
        </w:rPr>
        <w:tab/>
        <w:t xml:space="preserve">2. </w:t>
      </w:r>
      <w:proofErr w:type="gramStart"/>
      <w:r w:rsidRPr="00AF31C4">
        <w:rPr>
          <w:color w:val="000000" w:themeColor="text1"/>
        </w:rPr>
        <w:t>Замена приборов учета тепловой энергии в бюджетных учреждениях: осуществлены работы по установке приборов учета коммунальных услуг холодного водоснабжения в МБОУ «Гимназия №5» на сумму 14,00 тыс. руб., осуществлены работы по установке приборов учета коммунальных услуг по тепловой энергии и горячего водоснабжения МАОУ СКК «МАЛАХИТ» на сумму 43,50 тыс. руб., установлен прибор учета тепловой энергии в МБОУ «Лицей № 8» на сумму</w:t>
      </w:r>
      <w:proofErr w:type="gramEnd"/>
      <w:r w:rsidRPr="00AF31C4">
        <w:rPr>
          <w:color w:val="000000" w:themeColor="text1"/>
        </w:rPr>
        <w:t xml:space="preserve"> 350,00 тыс. рублей. </w:t>
      </w:r>
    </w:p>
    <w:p w:rsidR="005B2B2D" w:rsidRPr="00AF31C4" w:rsidRDefault="005B2B2D" w:rsidP="005B2B2D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AF31C4">
        <w:rPr>
          <w:color w:val="000000" w:themeColor="text1"/>
        </w:rPr>
        <w:t>3. Осуществлена оплата доли муниципального жилого и нежилого имущества в части обязательств по капитальному ремонту многоквартирных домов на общую сумму 7 066,10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 xml:space="preserve">уб. 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>4. Доставка питьевой воды в бывшие деревни на общую сумму 1 742,920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 xml:space="preserve">5. Осуществление мероприятий по перевозке пассажиров транспортом общего пользования. Обеспечение исполнения муниципального контракта с ООО «Ленинградская АЭС-Авто». С января 2021 года </w:t>
      </w:r>
      <w:proofErr w:type="gramStart"/>
      <w:r w:rsidRPr="00AF31C4">
        <w:rPr>
          <w:color w:val="000000" w:themeColor="text1"/>
        </w:rPr>
        <w:t>данное</w:t>
      </w:r>
      <w:proofErr w:type="gramEnd"/>
      <w:r w:rsidRPr="00AF31C4">
        <w:rPr>
          <w:color w:val="000000" w:themeColor="text1"/>
        </w:rPr>
        <w:t xml:space="preserve"> мероприятия сейчас перенесено на ПОДПРОГАММУ 8 в ОЭР.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>6. В рамках муниципальной программы заключено соглашение со СМУП «ТСП»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312,000 руб.</w:t>
      </w:r>
    </w:p>
    <w:p w:rsidR="005B2B2D" w:rsidRPr="00AF31C4" w:rsidRDefault="005B2B2D" w:rsidP="005B2B2D">
      <w:pPr>
        <w:ind w:firstLine="708"/>
        <w:rPr>
          <w:bCs/>
          <w:color w:val="000000" w:themeColor="text1"/>
        </w:rPr>
      </w:pPr>
      <w:r w:rsidRPr="00AF31C4">
        <w:rPr>
          <w:color w:val="000000" w:themeColor="text1"/>
        </w:rPr>
        <w:t>7. В рамках муниципальной программы Сосновоборского городского</w:t>
      </w:r>
      <w:r w:rsidRPr="00AF31C4">
        <w:rPr>
          <w:bCs/>
          <w:color w:val="000000" w:themeColor="text1"/>
        </w:rPr>
        <w:t xml:space="preserve"> округа «Городское хозяйство на 2014-2024 годы» согласно поступивших заявлений от управляющих организаций ООО «Сити-Сервис», ООО «</w:t>
      </w:r>
      <w:proofErr w:type="spellStart"/>
      <w:r w:rsidRPr="00AF31C4">
        <w:rPr>
          <w:bCs/>
          <w:color w:val="000000" w:themeColor="text1"/>
        </w:rPr>
        <w:t>Титанжилком</w:t>
      </w:r>
      <w:proofErr w:type="spellEnd"/>
      <w:r w:rsidRPr="00AF31C4">
        <w:rPr>
          <w:bCs/>
          <w:color w:val="000000" w:themeColor="text1"/>
        </w:rPr>
        <w:t xml:space="preserve">», ООО «Управдом </w:t>
      </w:r>
      <w:proofErr w:type="gramStart"/>
      <w:r w:rsidRPr="00AF31C4">
        <w:rPr>
          <w:bCs/>
          <w:color w:val="000000" w:themeColor="text1"/>
        </w:rPr>
        <w:t>СБ</w:t>
      </w:r>
      <w:proofErr w:type="gramEnd"/>
      <w:r w:rsidRPr="00AF31C4">
        <w:rPr>
          <w:bCs/>
          <w:color w:val="000000" w:themeColor="text1"/>
        </w:rPr>
        <w:t>» и АО «АЭН» осуществлены мероприятия по возмещению фактических затрат управляющим организациям, связанных с содержанием муниципальных нежилых и жилых помещений на общую сумму 119,90 тыс.руб.</w:t>
      </w:r>
    </w:p>
    <w:p w:rsidR="005B2B2D" w:rsidRPr="00AF31C4" w:rsidRDefault="005B2B2D" w:rsidP="005B2B2D">
      <w:pPr>
        <w:ind w:firstLine="567"/>
        <w:rPr>
          <w:color w:val="000000" w:themeColor="text1"/>
        </w:rPr>
      </w:pPr>
      <w:r w:rsidRPr="00AF31C4">
        <w:rPr>
          <w:color w:val="000000" w:themeColor="text1"/>
        </w:rPr>
        <w:t>8. Мероприятия по предоставлению в рамках концессионного соглашения на модернизацию и реконструкцию сетей: в целях модернизации и/или реконструкция муниципального имущества, составляющего объекты водоснабжения и водоотведения 28 июля 2020 года заключено Концессионное соглашение в отношении отдельных объектов водоснабжения, водоотведения, предназначенных для водоснабжения и водоотведения на 30 лет, на общую сумму 1 505 356,050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уб.:</w:t>
      </w:r>
    </w:p>
    <w:p w:rsidR="005B2B2D" w:rsidRPr="00AF31C4" w:rsidRDefault="005B2B2D" w:rsidP="005B2B2D">
      <w:pPr>
        <w:pStyle w:val="ConsPlusNonformat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2020 год - 29 260, 410 тыс</w:t>
      </w:r>
      <w:proofErr w:type="gramStart"/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уб.;</w:t>
      </w:r>
    </w:p>
    <w:p w:rsidR="005B2B2D" w:rsidRPr="00AF31C4" w:rsidRDefault="005B2B2D" w:rsidP="005B2B2D">
      <w:pPr>
        <w:pStyle w:val="ConsPlusNonformat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2021 год - 34 532,420 тыс</w:t>
      </w:r>
      <w:proofErr w:type="gramStart"/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уб.;</w:t>
      </w:r>
    </w:p>
    <w:p w:rsidR="005B2B2D" w:rsidRPr="00AF31C4" w:rsidRDefault="005B2B2D" w:rsidP="005B2B2D">
      <w:pPr>
        <w:pStyle w:val="ConsPlusNonformat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C4">
        <w:rPr>
          <w:rFonts w:ascii="Times New Roman" w:hAnsi="Times New Roman" w:cs="Times New Roman"/>
          <w:color w:val="000000" w:themeColor="text1"/>
          <w:sz w:val="24"/>
          <w:szCs w:val="24"/>
        </w:rPr>
        <w:t>2022 год -36 562,460 тыс. руб.;</w:t>
      </w:r>
    </w:p>
    <w:p w:rsidR="005B2B2D" w:rsidRPr="00AF31C4" w:rsidRDefault="005B2B2D" w:rsidP="005B2B2D">
      <w:pPr>
        <w:ind w:firstLine="567"/>
        <w:rPr>
          <w:color w:val="000000" w:themeColor="text1"/>
        </w:rPr>
      </w:pPr>
      <w:r w:rsidRPr="00AF31C4">
        <w:rPr>
          <w:color w:val="000000" w:themeColor="text1"/>
        </w:rPr>
        <w:t>2023 год – 36 071,22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proofErr w:type="gramStart"/>
      <w:r w:rsidRPr="00AF31C4">
        <w:rPr>
          <w:color w:val="000000" w:themeColor="text1"/>
        </w:rPr>
        <w:t>Между субъектом Российской Федерации - Ленинградская область, от имени которой выступает Губернатор Ленинградской области, муниципальным образованием Сосновоборский городской округ Ленинградской области, в лице администрации Сосновоборского городского округа, СМУП «Водоканал», ООО «Водоканал» 28 июля 2020 года заключено концессионное соглашение в отношении отдельных объектов водоснабжения, водоотведения, предназначенных для водоснабжения и водоотведения Сосновоборского городского округа.</w:t>
      </w:r>
      <w:proofErr w:type="gramEnd"/>
    </w:p>
    <w:p w:rsidR="005B2B2D" w:rsidRPr="00AF31C4" w:rsidRDefault="005B2B2D" w:rsidP="005B2B2D">
      <w:pPr>
        <w:ind w:firstLine="709"/>
        <w:rPr>
          <w:color w:val="000000" w:themeColor="text1"/>
        </w:rPr>
      </w:pPr>
      <w:r w:rsidRPr="00AF31C4">
        <w:rPr>
          <w:color w:val="000000" w:themeColor="text1"/>
        </w:rPr>
        <w:t>Предметом Концессионного соглашения является реконструкция и модернизация Концессионером имущества в объемах, указанных в Приложениях Концессионного соглашения, а также осуществление Концессионером деятельности по водоснабжению, водоотведению, в том числе очистке сточных вод, обращению с осадком сточных вод, приему и транспортировке сточных вод с использованием (эксплуатацией) объекта Соглашения.</w:t>
      </w:r>
    </w:p>
    <w:p w:rsidR="005B2B2D" w:rsidRPr="00AF31C4" w:rsidRDefault="005B2B2D" w:rsidP="005B2B2D">
      <w:pPr>
        <w:ind w:firstLine="709"/>
        <w:rPr>
          <w:color w:val="000000" w:themeColor="text1"/>
        </w:rPr>
      </w:pPr>
      <w:r w:rsidRPr="00AF31C4">
        <w:rPr>
          <w:color w:val="000000" w:themeColor="text1"/>
        </w:rPr>
        <w:t>Статус гарантирующей организации, осуществляющей холодное водоснабжение и водоотведение в муниципальном образовании Сосновоборский городской округ Ленинградской област</w:t>
      </w:r>
      <w:proofErr w:type="gramStart"/>
      <w:r w:rsidRPr="00AF31C4">
        <w:rPr>
          <w:color w:val="000000" w:themeColor="text1"/>
        </w:rPr>
        <w:t>и ООО</w:t>
      </w:r>
      <w:proofErr w:type="gramEnd"/>
      <w:r w:rsidRPr="00AF31C4">
        <w:rPr>
          <w:color w:val="000000" w:themeColor="text1"/>
        </w:rPr>
        <w:t xml:space="preserve"> «Водоканал» получил 1 октября 2020 года.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В 2020 году Концессионным соглашением предусмотрены следующие мероприятия: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- Модернизация существующих 5 объектов централизованных систем водоснабжения. Исполнение отсутствует.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 xml:space="preserve">- Модернизация/ реконструкция существующих 13 объектов централизованных систем водоотведения, из них 9 объектов </w:t>
      </w:r>
      <w:proofErr w:type="gramStart"/>
      <w:r w:rsidRPr="00AF31C4">
        <w:rPr>
          <w:color w:val="000000" w:themeColor="text1"/>
        </w:rPr>
        <w:t>–п</w:t>
      </w:r>
      <w:proofErr w:type="gramEnd"/>
      <w:r w:rsidRPr="00AF31C4">
        <w:rPr>
          <w:color w:val="000000" w:themeColor="text1"/>
        </w:rPr>
        <w:t>о особым условиям.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lastRenderedPageBreak/>
        <w:t>- Реконструкция КОС, 1-й этап (Реконструкция песколовок, первичных отстойников, контактных резервуаров, разработка РД на реконструкцию КОС).</w:t>
      </w:r>
    </w:p>
    <w:p w:rsidR="005B2B2D" w:rsidRPr="00E827F2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E827F2">
        <w:rPr>
          <w:color w:val="000000" w:themeColor="text1"/>
        </w:rPr>
        <w:t xml:space="preserve"> По состоянию </w:t>
      </w:r>
      <w:proofErr w:type="gramStart"/>
      <w:r w:rsidRPr="00E827F2">
        <w:rPr>
          <w:color w:val="000000" w:themeColor="text1"/>
        </w:rPr>
        <w:t>на конец</w:t>
      </w:r>
      <w:proofErr w:type="gramEnd"/>
      <w:r w:rsidRPr="00E827F2">
        <w:rPr>
          <w:color w:val="000000" w:themeColor="text1"/>
        </w:rPr>
        <w:t xml:space="preserve"> 2021 года выполнены 3 мероприятия (не относящиеся к особым обстоятельствам):</w:t>
      </w:r>
    </w:p>
    <w:p w:rsidR="005B2B2D" w:rsidRPr="00E827F2" w:rsidRDefault="005B2B2D" w:rsidP="005B2B2D">
      <w:pPr>
        <w:autoSpaceDE w:val="0"/>
        <w:autoSpaceDN w:val="0"/>
        <w:adjustRightInd w:val="0"/>
        <w:ind w:firstLine="709"/>
        <w:rPr>
          <w:i/>
          <w:color w:val="000000" w:themeColor="text1"/>
        </w:rPr>
      </w:pPr>
      <w:r w:rsidRPr="00E827F2">
        <w:rPr>
          <w:i/>
          <w:color w:val="000000" w:themeColor="text1"/>
        </w:rPr>
        <w:t xml:space="preserve">- мероприятия по модернизации сетей канализации НК от ВК по ул. Высотной до колодца-гашения напора по ул. Ленинской 2 </w:t>
      </w:r>
      <w:proofErr w:type="spellStart"/>
      <w:r w:rsidRPr="00E827F2">
        <w:rPr>
          <w:i/>
          <w:color w:val="000000" w:themeColor="text1"/>
        </w:rPr>
        <w:t>мкр</w:t>
      </w:r>
      <w:proofErr w:type="spellEnd"/>
      <w:r w:rsidRPr="00E827F2">
        <w:rPr>
          <w:i/>
          <w:color w:val="000000" w:themeColor="text1"/>
        </w:rPr>
        <w:t>. - 638264,64 руб. (п.3.1.5)</w:t>
      </w:r>
    </w:p>
    <w:p w:rsidR="005B2B2D" w:rsidRPr="00E827F2" w:rsidRDefault="005B2B2D" w:rsidP="005B2B2D">
      <w:pPr>
        <w:autoSpaceDE w:val="0"/>
        <w:autoSpaceDN w:val="0"/>
        <w:adjustRightInd w:val="0"/>
        <w:ind w:firstLine="709"/>
        <w:rPr>
          <w:i/>
          <w:color w:val="000000" w:themeColor="text1"/>
        </w:rPr>
      </w:pPr>
      <w:r w:rsidRPr="00E827F2">
        <w:rPr>
          <w:i/>
          <w:color w:val="000000" w:themeColor="text1"/>
        </w:rPr>
        <w:t xml:space="preserve">- мероприятия по модернизации сетей канализации НК №2 от ВК - по ул. Высотной, д.3 до колодца гасителя напора напротив здания  ВНИПИЭТ, 2,4 </w:t>
      </w:r>
      <w:proofErr w:type="spellStart"/>
      <w:r w:rsidRPr="00E827F2">
        <w:rPr>
          <w:i/>
          <w:color w:val="000000" w:themeColor="text1"/>
        </w:rPr>
        <w:t>мкр</w:t>
      </w:r>
      <w:proofErr w:type="spellEnd"/>
      <w:r w:rsidRPr="00E827F2">
        <w:rPr>
          <w:i/>
          <w:color w:val="000000" w:themeColor="text1"/>
        </w:rPr>
        <w:t>. - 4 462 193,28 руб. (п.3.1.4)</w:t>
      </w:r>
    </w:p>
    <w:p w:rsidR="005B2B2D" w:rsidRPr="00E827F2" w:rsidRDefault="005B2B2D" w:rsidP="005B2B2D">
      <w:pPr>
        <w:autoSpaceDE w:val="0"/>
        <w:autoSpaceDN w:val="0"/>
        <w:adjustRightInd w:val="0"/>
        <w:ind w:firstLine="709"/>
        <w:rPr>
          <w:i/>
          <w:color w:val="000000" w:themeColor="text1"/>
        </w:rPr>
      </w:pPr>
      <w:r w:rsidRPr="00E827F2">
        <w:rPr>
          <w:i/>
          <w:color w:val="000000" w:themeColor="text1"/>
        </w:rPr>
        <w:t>- мероприятия модернизация сетей канализации НК №1 от В</w:t>
      </w:r>
      <w:proofErr w:type="gramStart"/>
      <w:r w:rsidRPr="00E827F2">
        <w:rPr>
          <w:i/>
          <w:color w:val="000000" w:themeColor="text1"/>
        </w:rPr>
        <w:t>К-</w:t>
      </w:r>
      <w:proofErr w:type="gramEnd"/>
      <w:r w:rsidRPr="00E827F2">
        <w:rPr>
          <w:i/>
          <w:color w:val="000000" w:themeColor="text1"/>
        </w:rPr>
        <w:t xml:space="preserve"> по ул. 50 лет Октября до колодца гасителя напора напротив </w:t>
      </w:r>
      <w:proofErr w:type="spellStart"/>
      <w:r w:rsidRPr="00E827F2">
        <w:rPr>
          <w:i/>
          <w:color w:val="000000" w:themeColor="text1"/>
        </w:rPr>
        <w:t>зд</w:t>
      </w:r>
      <w:proofErr w:type="spellEnd"/>
      <w:r w:rsidRPr="00E827F2">
        <w:rPr>
          <w:i/>
          <w:color w:val="000000" w:themeColor="text1"/>
        </w:rPr>
        <w:t xml:space="preserve">. ВНИПИЭТ 2,3,4 </w:t>
      </w:r>
      <w:proofErr w:type="spellStart"/>
      <w:r w:rsidRPr="00E827F2">
        <w:rPr>
          <w:i/>
          <w:color w:val="000000" w:themeColor="text1"/>
        </w:rPr>
        <w:t>мкр</w:t>
      </w:r>
      <w:proofErr w:type="spellEnd"/>
      <w:r w:rsidRPr="00E827F2">
        <w:rPr>
          <w:i/>
          <w:color w:val="000000" w:themeColor="text1"/>
        </w:rPr>
        <w:t xml:space="preserve"> -5 664 600 руб. (п.3.1.3)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Процент выполнения по 2020 году составил 15,7% из запланированных 19 мероприятий.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 xml:space="preserve">Администрация Сосновоборского городского округа, являясь </w:t>
      </w:r>
      <w:proofErr w:type="spellStart"/>
      <w:r w:rsidRPr="00AF31C4">
        <w:rPr>
          <w:color w:val="000000" w:themeColor="text1"/>
        </w:rPr>
        <w:t>Концедентом</w:t>
      </w:r>
      <w:proofErr w:type="spellEnd"/>
      <w:r w:rsidRPr="00AF31C4">
        <w:rPr>
          <w:color w:val="000000" w:themeColor="text1"/>
        </w:rPr>
        <w:t>, произвела 100% оплату выполненных работ в общем размере 10 765, 058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 и концессионной платы согласно Концессионного соглашения в размере 34,359 тыс.руб.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В 2021 году Концессионным соглашением предусмотрено следующие мероприятия: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 xml:space="preserve">- Модернизация существующих 5 объектов централизованных систем водоснабжения, из них 2 объекта - особых условия. 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- Модернизация/ реконструкция существующих 6 объектов централизованных систем водоотведения, из них 2 объекта - особых условия.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F31C4">
        <w:rPr>
          <w:color w:val="000000" w:themeColor="text1"/>
        </w:rPr>
        <w:t>- Реконструкция КОС, 1-й этап (Реконструкция песколовок, первичных отстойников, контактных резервуаров, разработка РД на реконструкцию КОС).</w:t>
      </w:r>
    </w:p>
    <w:p w:rsidR="005B2B2D" w:rsidRPr="00AF31C4" w:rsidRDefault="005B2B2D" w:rsidP="005B2B2D">
      <w:pPr>
        <w:autoSpaceDE w:val="0"/>
        <w:autoSpaceDN w:val="0"/>
        <w:adjustRightInd w:val="0"/>
        <w:ind w:firstLine="709"/>
        <w:rPr>
          <w:color w:val="000000" w:themeColor="text1"/>
          <w:u w:val="single"/>
        </w:rPr>
      </w:pPr>
      <w:proofErr w:type="gramStart"/>
      <w:r w:rsidRPr="00AF31C4">
        <w:rPr>
          <w:color w:val="000000" w:themeColor="text1"/>
        </w:rPr>
        <w:t>На конец</w:t>
      </w:r>
      <w:proofErr w:type="gramEnd"/>
      <w:r w:rsidRPr="00AF31C4">
        <w:rPr>
          <w:color w:val="000000" w:themeColor="text1"/>
        </w:rPr>
        <w:t xml:space="preserve"> 2021 года концессионером запланированные мероприятия на 2021 г. не выполнены. 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>9. В рамках муниципальной программы Сосновоборского городского округа «Городское хозяйство на 2014-2024 годы» запланированы мероприятия по выделению субсидий на частичное возмещение затрат на техническое обслуживание и текущий ремонт распределительных газопроводов в размере 1 537,80907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 Между администрацией СГО и  СМУП «ТСП» заключено соглашения по выделению субсидий, связанных, с техническим обслуживанием и текущим ремонтом распределительных газопроводов. Исполнение составило 1 537,81 тыс</w:t>
      </w:r>
      <w:proofErr w:type="gramStart"/>
      <w:r w:rsidRPr="00AF31C4">
        <w:rPr>
          <w:color w:val="000000" w:themeColor="text1"/>
        </w:rPr>
        <w:t>.р</w:t>
      </w:r>
      <w:proofErr w:type="gramEnd"/>
      <w:r w:rsidRPr="00AF31C4">
        <w:rPr>
          <w:color w:val="000000" w:themeColor="text1"/>
        </w:rPr>
        <w:t>уб.</w:t>
      </w:r>
    </w:p>
    <w:p w:rsidR="005B2B2D" w:rsidRPr="00AF31C4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>10. Проведение технической экспертизы многоквартирного дома специализированной организацией. Заключено и проведено мероприятие по проведению технической экспертизы</w:t>
      </w:r>
      <w:r w:rsidRPr="00E827F2">
        <w:rPr>
          <w:color w:val="000000" w:themeColor="text1"/>
        </w:rPr>
        <w:t xml:space="preserve"> </w:t>
      </w:r>
      <w:r w:rsidRPr="00AF31C4">
        <w:rPr>
          <w:color w:val="000000" w:themeColor="text1"/>
        </w:rPr>
        <w:t>многоквартирного дома по ул</w:t>
      </w:r>
      <w:proofErr w:type="gramStart"/>
      <w:r w:rsidRPr="00AF31C4">
        <w:rPr>
          <w:color w:val="000000" w:themeColor="text1"/>
        </w:rPr>
        <w:t>.С</w:t>
      </w:r>
      <w:proofErr w:type="gramEnd"/>
      <w:r w:rsidRPr="00AF31C4">
        <w:rPr>
          <w:color w:val="000000" w:themeColor="text1"/>
        </w:rPr>
        <w:t xml:space="preserve">оветской д.15 специализированной организацией на общую сумму 141,00 руб. </w:t>
      </w:r>
    </w:p>
    <w:p w:rsidR="005B2B2D" w:rsidRPr="00AF31C4" w:rsidRDefault="005B2B2D" w:rsidP="005B2B2D">
      <w:pPr>
        <w:ind w:firstLine="708"/>
        <w:rPr>
          <w:bCs/>
          <w:color w:val="000000" w:themeColor="text1"/>
        </w:rPr>
      </w:pPr>
      <w:r w:rsidRPr="00AF31C4">
        <w:rPr>
          <w:color w:val="000000" w:themeColor="text1"/>
        </w:rPr>
        <w:t>11.</w:t>
      </w:r>
      <w:r w:rsidRPr="00AF31C4">
        <w:rPr>
          <w:bCs/>
          <w:color w:val="000000" w:themeColor="text1"/>
        </w:rPr>
        <w:t>Осуществлено мероприятие по проведению обучения правовой грамотности населения в сфере жилищно-коммунального хозяйства, на общую сумму 85,00 тыс</w:t>
      </w:r>
      <w:proofErr w:type="gramStart"/>
      <w:r w:rsidRPr="00AF31C4">
        <w:rPr>
          <w:bCs/>
          <w:color w:val="000000" w:themeColor="text1"/>
        </w:rPr>
        <w:t>.р</w:t>
      </w:r>
      <w:proofErr w:type="gramEnd"/>
      <w:r w:rsidRPr="00AF31C4">
        <w:rPr>
          <w:bCs/>
          <w:color w:val="000000" w:themeColor="text1"/>
        </w:rPr>
        <w:t xml:space="preserve">уб. </w:t>
      </w:r>
    </w:p>
    <w:p w:rsidR="005B2B2D" w:rsidRPr="00E827F2" w:rsidRDefault="005B2B2D" w:rsidP="005B2B2D">
      <w:pPr>
        <w:ind w:firstLine="708"/>
        <w:rPr>
          <w:color w:val="000000" w:themeColor="text1"/>
        </w:rPr>
      </w:pPr>
      <w:r w:rsidRPr="00AF31C4">
        <w:rPr>
          <w:color w:val="000000" w:themeColor="text1"/>
        </w:rPr>
        <w:t>12. Осуществлены мероприятия по актуализации схемы теплоснабжения, водоснабжения, водоотведения, программы комплексного развития системы коммунальной</w:t>
      </w:r>
      <w:r w:rsidRPr="00E827F2">
        <w:rPr>
          <w:color w:val="000000" w:themeColor="text1"/>
        </w:rPr>
        <w:t xml:space="preserve"> инфраструктуры на общую сумму 599 тыс</w:t>
      </w:r>
      <w:proofErr w:type="gramStart"/>
      <w:r w:rsidRPr="00E827F2">
        <w:rPr>
          <w:color w:val="000000" w:themeColor="text1"/>
        </w:rPr>
        <w:t>.р</w:t>
      </w:r>
      <w:proofErr w:type="gramEnd"/>
      <w:r w:rsidRPr="00E827F2">
        <w:rPr>
          <w:color w:val="000000" w:themeColor="text1"/>
        </w:rPr>
        <w:t>уб. Исполнение составило 100%.</w:t>
      </w:r>
    </w:p>
    <w:p w:rsidR="005B2B2D" w:rsidRPr="00E827F2" w:rsidRDefault="005B2B2D" w:rsidP="005B2B2D">
      <w:pPr>
        <w:keepNext/>
        <w:tabs>
          <w:tab w:val="left" w:pos="3130"/>
          <w:tab w:val="center" w:pos="5032"/>
        </w:tabs>
        <w:jc w:val="center"/>
        <w:rPr>
          <w:rFonts w:eastAsia="Times New Roman"/>
          <w:b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keepNext/>
        <w:tabs>
          <w:tab w:val="left" w:pos="3130"/>
          <w:tab w:val="center" w:pos="5032"/>
        </w:tabs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Показатели</w:t>
      </w: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Показатель 39. Удельная величина потребления энергетических ресурсов в многоквартирных домах: электрическая энергия, тепловая энергия, горячая вода, холодная вода, природный газ.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2021 году удельная величина потребления энергетических ресурсов в многоквартирных домах составила: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электрической энергии – 725,13 кВт/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ч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проживающего (увеличилась 24,4 %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тепловой энергии – 0,16 Гкал на 1 кв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.м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общей площади (увеличилась 33 %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- горячей воды – 25,76 куб.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проживающего (увеличилась 9,2 %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- холодной воды – 36,92 куб.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проживающего (увеличилась 4,2 %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- природного газа – 133,01 куб.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проживающего (увеличилась 2,4 % к 2020 году).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2022-2024 годах удельная величина потребления энергетических ресурсов в многоквартирных домах планируется на уровне 2021 года.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lastRenderedPageBreak/>
        <w:t>Показатель 40. 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вода, природный газ.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В 2021 году удельная величина потребления энергетических ресурсов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муниципальными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бюджетными учреждениям составила: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электрической энергии – 62,14 кВт/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ч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человека (11,1 %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тепловой энергии – 0,18 Гкал на 1 кв.м. общей площади (28,5 %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- горячей воды – 0,66 куб.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человека населения (32 % к 2020 году);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 xml:space="preserve">- холодной воды – 0,92 куб. </w:t>
      </w:r>
      <w:proofErr w:type="gramStart"/>
      <w:r w:rsidRPr="00E827F2">
        <w:rPr>
          <w:rFonts w:eastAsia="Times New Roman"/>
          <w:bCs/>
          <w:color w:val="000000" w:themeColor="text1"/>
          <w:lang w:eastAsia="ru-RU"/>
        </w:rPr>
        <w:t>м</w:t>
      </w:r>
      <w:proofErr w:type="gramEnd"/>
      <w:r w:rsidRPr="00E827F2">
        <w:rPr>
          <w:rFonts w:eastAsia="Times New Roman"/>
          <w:bCs/>
          <w:color w:val="000000" w:themeColor="text1"/>
          <w:lang w:eastAsia="ru-RU"/>
        </w:rPr>
        <w:t xml:space="preserve"> на 1 человека населения (27,77 % к 2020 году).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- природный газ муниципальные бюджетные учреждения не потребляют.</w:t>
      </w:r>
    </w:p>
    <w:p w:rsidR="005B2B2D" w:rsidRPr="00E827F2" w:rsidRDefault="005B2B2D" w:rsidP="005B2B2D">
      <w:pPr>
        <w:ind w:firstLine="708"/>
        <w:rPr>
          <w:rFonts w:eastAsia="Times New Roman"/>
          <w:color w:val="000000" w:themeColor="text1"/>
          <w:u w:val="single"/>
          <w:lang w:eastAsia="ru-RU"/>
        </w:rPr>
      </w:pPr>
      <w:r w:rsidRPr="00E827F2">
        <w:rPr>
          <w:rFonts w:eastAsia="Times New Roman"/>
          <w:color w:val="000000" w:themeColor="text1"/>
          <w:u w:val="single"/>
          <w:lang w:eastAsia="ru-RU"/>
        </w:rPr>
        <w:t>Прогноз на трехлетний период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2021-2023 годах удельная величина потребления энергетических ресурсов муниципальными бюджетными учреждениями планируется на уровне 2020 года.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 xml:space="preserve">Показатель 41. </w:t>
      </w:r>
      <w:proofErr w:type="gramStart"/>
      <w:r w:rsidRPr="00E827F2">
        <w:rPr>
          <w:rFonts w:eastAsia="Times New Roman"/>
          <w:b/>
          <w:bCs/>
          <w:color w:val="000000" w:themeColor="text1"/>
          <w:lang w:eastAsia="ru-RU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  <w:proofErr w:type="gramEnd"/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в сфере культуры: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2020 году показатель составил 86,17 баллов (среднее значение по показателям 8 учреждений, в отношении которых в 2020 году проведена независимая оценка качества).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2021 году независимая оценка качества не проводилась.</w:t>
      </w:r>
    </w:p>
    <w:p w:rsidR="005B2B2D" w:rsidRPr="00E827F2" w:rsidRDefault="005B2B2D" w:rsidP="005B2B2D">
      <w:pPr>
        <w:ind w:firstLine="709"/>
        <w:rPr>
          <w:rFonts w:eastAsia="Times New Roman"/>
          <w:bCs/>
          <w:color w:val="000000" w:themeColor="text1"/>
          <w:lang w:eastAsia="ru-RU"/>
        </w:rPr>
      </w:pPr>
      <w:r w:rsidRPr="00E827F2">
        <w:rPr>
          <w:rFonts w:eastAsia="Times New Roman"/>
          <w:bCs/>
          <w:color w:val="000000" w:themeColor="text1"/>
          <w:lang w:eastAsia="ru-RU"/>
        </w:rPr>
        <w:t>В 2022-2024 годах показатель прогнозируется на уровне 100 баллов (следующая независимая оценка – в 2023 году).</w:t>
      </w:r>
    </w:p>
    <w:p w:rsidR="005B2B2D" w:rsidRPr="00E827F2" w:rsidRDefault="005B2B2D" w:rsidP="005B2B2D">
      <w:pPr>
        <w:ind w:firstLine="709"/>
        <w:rPr>
          <w:rFonts w:eastAsia="Times New Roman"/>
          <w:b/>
          <w:bCs/>
          <w:color w:val="000000" w:themeColor="text1"/>
          <w:lang w:eastAsia="ru-RU"/>
        </w:rPr>
      </w:pPr>
      <w:r w:rsidRPr="00E827F2">
        <w:rPr>
          <w:rFonts w:eastAsia="Times New Roman"/>
          <w:b/>
          <w:bCs/>
          <w:color w:val="000000" w:themeColor="text1"/>
          <w:lang w:eastAsia="ru-RU"/>
        </w:rPr>
        <w:t>в сфере образования: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средний балл по независимой оценке качества условий оказания услуг муниципальными организациями в сфере образования остался на уровне 85,85.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Прогноз на трехлетний период</w:t>
      </w:r>
    </w:p>
    <w:p w:rsidR="005B2B2D" w:rsidRPr="00E827F2" w:rsidRDefault="005B2B2D" w:rsidP="005B2B2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2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2022 году будет проводиться независимая оценка качества условий оказания услуг муниципальными организациями в сфере образования (независимая оценка проводится не реже одного раза в три года, предыдущая была в 2019 году). 2022-2024 планируется средний балл по независимой оценке на уровне 86,5. </w:t>
      </w:r>
    </w:p>
    <w:p w:rsidR="005B2B2D" w:rsidRPr="00E827F2" w:rsidRDefault="005B2B2D" w:rsidP="005B2B2D">
      <w:pPr>
        <w:rPr>
          <w:color w:val="000000" w:themeColor="text1"/>
        </w:rPr>
      </w:pPr>
    </w:p>
    <w:p w:rsidR="005B2B2D" w:rsidRPr="00E827F2" w:rsidRDefault="005B2B2D" w:rsidP="005B2B2D"/>
    <w:p w:rsidR="005B2B2D" w:rsidRDefault="005B2B2D" w:rsidP="00F260EC"/>
    <w:sectPr w:rsidR="005B2B2D" w:rsidSect="005B2B2D">
      <w:pgSz w:w="11905" w:h="16838" w:code="9"/>
      <w:pgMar w:top="680" w:right="425" w:bottom="680" w:left="1304" w:header="0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A5" w:rsidRDefault="00A071A5" w:rsidP="00883B80">
      <w:r>
        <w:separator/>
      </w:r>
    </w:p>
  </w:endnote>
  <w:endnote w:type="continuationSeparator" w:id="0">
    <w:p w:rsidR="00A071A5" w:rsidRDefault="00A071A5" w:rsidP="0088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A5" w:rsidRDefault="00A071A5" w:rsidP="00883B80">
      <w:r>
        <w:separator/>
      </w:r>
    </w:p>
  </w:footnote>
  <w:footnote w:type="continuationSeparator" w:id="0">
    <w:p w:rsidR="00A071A5" w:rsidRDefault="00A071A5" w:rsidP="0088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232"/>
    <w:multiLevelType w:val="hybridMultilevel"/>
    <w:tmpl w:val="7BA8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F75A3"/>
    <w:multiLevelType w:val="hybridMultilevel"/>
    <w:tmpl w:val="79D8B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038C"/>
    <w:multiLevelType w:val="hybridMultilevel"/>
    <w:tmpl w:val="622A4D6E"/>
    <w:lvl w:ilvl="0" w:tplc="B9F457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403874"/>
    <w:multiLevelType w:val="hybridMultilevel"/>
    <w:tmpl w:val="7E2C0556"/>
    <w:lvl w:ilvl="0" w:tplc="A114E3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C6414"/>
    <w:multiLevelType w:val="hybridMultilevel"/>
    <w:tmpl w:val="7A6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5E3C"/>
    <w:multiLevelType w:val="hybridMultilevel"/>
    <w:tmpl w:val="EFD0A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00C9"/>
    <w:multiLevelType w:val="hybridMultilevel"/>
    <w:tmpl w:val="11F66230"/>
    <w:lvl w:ilvl="0" w:tplc="BFD6E45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2E0F06"/>
    <w:multiLevelType w:val="hybridMultilevel"/>
    <w:tmpl w:val="592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B5C8F"/>
    <w:multiLevelType w:val="hybridMultilevel"/>
    <w:tmpl w:val="337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6021"/>
    <w:multiLevelType w:val="hybridMultilevel"/>
    <w:tmpl w:val="CB7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50E1"/>
    <w:multiLevelType w:val="hybridMultilevel"/>
    <w:tmpl w:val="88BC029E"/>
    <w:lvl w:ilvl="0" w:tplc="6F800F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00DE7"/>
    <w:multiLevelType w:val="hybridMultilevel"/>
    <w:tmpl w:val="3932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825F9"/>
    <w:multiLevelType w:val="multilevel"/>
    <w:tmpl w:val="C6E82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92C8A"/>
    <w:multiLevelType w:val="hybridMultilevel"/>
    <w:tmpl w:val="D0D8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DE6469A"/>
    <w:multiLevelType w:val="hybridMultilevel"/>
    <w:tmpl w:val="0980BAF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EB7885"/>
    <w:multiLevelType w:val="hybridMultilevel"/>
    <w:tmpl w:val="4E0820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6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1ce0b9-dd6c-4622-b9a7-cbf147cc4ab1"/>
  </w:docVars>
  <w:rsids>
    <w:rsidRoot w:val="004300C3"/>
    <w:rsid w:val="000008EB"/>
    <w:rsid w:val="00012FDF"/>
    <w:rsid w:val="00017B6D"/>
    <w:rsid w:val="00035E20"/>
    <w:rsid w:val="000603C1"/>
    <w:rsid w:val="00074EE0"/>
    <w:rsid w:val="000818D3"/>
    <w:rsid w:val="000B107B"/>
    <w:rsid w:val="000C79C7"/>
    <w:rsid w:val="000E2A21"/>
    <w:rsid w:val="000E6200"/>
    <w:rsid w:val="00117824"/>
    <w:rsid w:val="0013512E"/>
    <w:rsid w:val="001429AD"/>
    <w:rsid w:val="00167DD1"/>
    <w:rsid w:val="00170386"/>
    <w:rsid w:val="001962FF"/>
    <w:rsid w:val="001978A6"/>
    <w:rsid w:val="001A6B35"/>
    <w:rsid w:val="001B0FB9"/>
    <w:rsid w:val="001B2885"/>
    <w:rsid w:val="001B3535"/>
    <w:rsid w:val="002079FE"/>
    <w:rsid w:val="002104CD"/>
    <w:rsid w:val="00217F72"/>
    <w:rsid w:val="00222B83"/>
    <w:rsid w:val="0028732B"/>
    <w:rsid w:val="002A1AFF"/>
    <w:rsid w:val="002B1500"/>
    <w:rsid w:val="002B4A36"/>
    <w:rsid w:val="002D305E"/>
    <w:rsid w:val="002E44BB"/>
    <w:rsid w:val="00323581"/>
    <w:rsid w:val="00330535"/>
    <w:rsid w:val="00331B8A"/>
    <w:rsid w:val="00336AE6"/>
    <w:rsid w:val="003838A1"/>
    <w:rsid w:val="0038626C"/>
    <w:rsid w:val="00387ED7"/>
    <w:rsid w:val="003A5387"/>
    <w:rsid w:val="003B256D"/>
    <w:rsid w:val="003C0AB3"/>
    <w:rsid w:val="003C0F76"/>
    <w:rsid w:val="003C7D92"/>
    <w:rsid w:val="003D0EA8"/>
    <w:rsid w:val="003E26D6"/>
    <w:rsid w:val="00402A88"/>
    <w:rsid w:val="004300C3"/>
    <w:rsid w:val="00440263"/>
    <w:rsid w:val="00472CFE"/>
    <w:rsid w:val="0048126A"/>
    <w:rsid w:val="00486A0E"/>
    <w:rsid w:val="004924C4"/>
    <w:rsid w:val="004A2BCB"/>
    <w:rsid w:val="004B0202"/>
    <w:rsid w:val="004B31F7"/>
    <w:rsid w:val="004B7122"/>
    <w:rsid w:val="004C3479"/>
    <w:rsid w:val="0053382B"/>
    <w:rsid w:val="00547E1A"/>
    <w:rsid w:val="00566582"/>
    <w:rsid w:val="005944B5"/>
    <w:rsid w:val="0059688B"/>
    <w:rsid w:val="005A6F11"/>
    <w:rsid w:val="005B1CF7"/>
    <w:rsid w:val="005B2B2D"/>
    <w:rsid w:val="005C3BC5"/>
    <w:rsid w:val="005E2B76"/>
    <w:rsid w:val="00601236"/>
    <w:rsid w:val="00602805"/>
    <w:rsid w:val="00620EA8"/>
    <w:rsid w:val="0062566D"/>
    <w:rsid w:val="006266B0"/>
    <w:rsid w:val="00647C3C"/>
    <w:rsid w:val="00671521"/>
    <w:rsid w:val="006A08FD"/>
    <w:rsid w:val="006C6A22"/>
    <w:rsid w:val="006D3EA6"/>
    <w:rsid w:val="006E4965"/>
    <w:rsid w:val="006E5DC0"/>
    <w:rsid w:val="006F6B9D"/>
    <w:rsid w:val="00707176"/>
    <w:rsid w:val="00711241"/>
    <w:rsid w:val="007246DA"/>
    <w:rsid w:val="00742958"/>
    <w:rsid w:val="00743A31"/>
    <w:rsid w:val="00744532"/>
    <w:rsid w:val="0075110F"/>
    <w:rsid w:val="00753485"/>
    <w:rsid w:val="007910A3"/>
    <w:rsid w:val="007B5440"/>
    <w:rsid w:val="007B711D"/>
    <w:rsid w:val="007D7ED6"/>
    <w:rsid w:val="007E5409"/>
    <w:rsid w:val="007E6690"/>
    <w:rsid w:val="00846B16"/>
    <w:rsid w:val="008567F5"/>
    <w:rsid w:val="00857952"/>
    <w:rsid w:val="008734BC"/>
    <w:rsid w:val="00883055"/>
    <w:rsid w:val="00883B80"/>
    <w:rsid w:val="008867F8"/>
    <w:rsid w:val="00893E31"/>
    <w:rsid w:val="008E4C8D"/>
    <w:rsid w:val="00910397"/>
    <w:rsid w:val="009204C8"/>
    <w:rsid w:val="0092217C"/>
    <w:rsid w:val="00923631"/>
    <w:rsid w:val="0094705D"/>
    <w:rsid w:val="00953D12"/>
    <w:rsid w:val="009546CA"/>
    <w:rsid w:val="00954FE2"/>
    <w:rsid w:val="0097071D"/>
    <w:rsid w:val="009779C1"/>
    <w:rsid w:val="009949C9"/>
    <w:rsid w:val="009B0903"/>
    <w:rsid w:val="009B1466"/>
    <w:rsid w:val="009C64FE"/>
    <w:rsid w:val="009C705B"/>
    <w:rsid w:val="009D1FA4"/>
    <w:rsid w:val="009D36A1"/>
    <w:rsid w:val="009E7172"/>
    <w:rsid w:val="00A04284"/>
    <w:rsid w:val="00A071A5"/>
    <w:rsid w:val="00A44F03"/>
    <w:rsid w:val="00A50DD7"/>
    <w:rsid w:val="00A81D9C"/>
    <w:rsid w:val="00A969BC"/>
    <w:rsid w:val="00AA6947"/>
    <w:rsid w:val="00AC7BF5"/>
    <w:rsid w:val="00B23513"/>
    <w:rsid w:val="00B31227"/>
    <w:rsid w:val="00B45179"/>
    <w:rsid w:val="00B459BC"/>
    <w:rsid w:val="00B52C9E"/>
    <w:rsid w:val="00B61CE2"/>
    <w:rsid w:val="00B667B8"/>
    <w:rsid w:val="00B70375"/>
    <w:rsid w:val="00B73BC9"/>
    <w:rsid w:val="00B91F5B"/>
    <w:rsid w:val="00BA412D"/>
    <w:rsid w:val="00BA7CCE"/>
    <w:rsid w:val="00BD3B39"/>
    <w:rsid w:val="00BE55DF"/>
    <w:rsid w:val="00C05A2F"/>
    <w:rsid w:val="00C071AE"/>
    <w:rsid w:val="00C1478F"/>
    <w:rsid w:val="00C21DBE"/>
    <w:rsid w:val="00C32100"/>
    <w:rsid w:val="00C40AE2"/>
    <w:rsid w:val="00C40D91"/>
    <w:rsid w:val="00C445D0"/>
    <w:rsid w:val="00C5039D"/>
    <w:rsid w:val="00C57CD0"/>
    <w:rsid w:val="00C7015B"/>
    <w:rsid w:val="00C71C47"/>
    <w:rsid w:val="00C737C3"/>
    <w:rsid w:val="00C84F9C"/>
    <w:rsid w:val="00C915A6"/>
    <w:rsid w:val="00C93CD1"/>
    <w:rsid w:val="00C95467"/>
    <w:rsid w:val="00CB51D1"/>
    <w:rsid w:val="00CC022C"/>
    <w:rsid w:val="00CE4AA4"/>
    <w:rsid w:val="00CF50A3"/>
    <w:rsid w:val="00D043A3"/>
    <w:rsid w:val="00D225EA"/>
    <w:rsid w:val="00D2336C"/>
    <w:rsid w:val="00D36B22"/>
    <w:rsid w:val="00D432BA"/>
    <w:rsid w:val="00D633A4"/>
    <w:rsid w:val="00D767AC"/>
    <w:rsid w:val="00D802DA"/>
    <w:rsid w:val="00D9698A"/>
    <w:rsid w:val="00DD222D"/>
    <w:rsid w:val="00DD26B1"/>
    <w:rsid w:val="00DD5027"/>
    <w:rsid w:val="00DE128E"/>
    <w:rsid w:val="00E232E9"/>
    <w:rsid w:val="00E52FFD"/>
    <w:rsid w:val="00E664C2"/>
    <w:rsid w:val="00E83722"/>
    <w:rsid w:val="00EA0B5E"/>
    <w:rsid w:val="00EA6190"/>
    <w:rsid w:val="00EB0A49"/>
    <w:rsid w:val="00EC7C18"/>
    <w:rsid w:val="00EF0B29"/>
    <w:rsid w:val="00F01558"/>
    <w:rsid w:val="00F11D52"/>
    <w:rsid w:val="00F135F0"/>
    <w:rsid w:val="00F15123"/>
    <w:rsid w:val="00F24E46"/>
    <w:rsid w:val="00F25317"/>
    <w:rsid w:val="00F260EC"/>
    <w:rsid w:val="00F30243"/>
    <w:rsid w:val="00F37FD5"/>
    <w:rsid w:val="00F47EE1"/>
    <w:rsid w:val="00F5032D"/>
    <w:rsid w:val="00F66FB6"/>
    <w:rsid w:val="00F67270"/>
    <w:rsid w:val="00F92759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paragraph" w:styleId="1">
    <w:name w:val="heading 1"/>
    <w:basedOn w:val="a"/>
    <w:next w:val="a"/>
    <w:link w:val="10"/>
    <w:qFormat/>
    <w:rsid w:val="00DD222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22D"/>
    <w:pPr>
      <w:keepNext/>
      <w:jc w:val="lef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D222D"/>
    <w:pPr>
      <w:keepNext/>
      <w:jc w:val="center"/>
      <w:outlineLvl w:val="2"/>
    </w:pPr>
    <w:rPr>
      <w:rFonts w:eastAsia="Times New Roman"/>
      <w:b/>
      <w:caps/>
      <w:spacing w:val="2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222D"/>
    <w:pPr>
      <w:keepNext/>
      <w:keepLines/>
      <w:spacing w:before="200"/>
      <w:jc w:val="left"/>
      <w:outlineLvl w:val="4"/>
    </w:pPr>
    <w:rPr>
      <w:rFonts w:ascii="Cambria" w:eastAsia="Times New Roman" w:hAnsi="Cambria"/>
      <w:color w:val="243F6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2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222D"/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D222D"/>
    <w:rPr>
      <w:rFonts w:eastAsia="Times New Roman"/>
      <w:b/>
      <w:caps/>
      <w:spacing w:val="20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DD222D"/>
    <w:rPr>
      <w:rFonts w:ascii="Cambria" w:eastAsia="Times New Roman" w:hAnsi="Cambria"/>
      <w:color w:val="243F60"/>
      <w:sz w:val="22"/>
      <w:szCs w:val="20"/>
    </w:rPr>
  </w:style>
  <w:style w:type="paragraph" w:customStyle="1" w:styleId="ConsPlusNormal">
    <w:name w:val="ConsPlusNormal"/>
    <w:rsid w:val="00DD222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D22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22D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D222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DD22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22D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D222D"/>
  </w:style>
  <w:style w:type="table" w:styleId="a5">
    <w:name w:val="Table Grid"/>
    <w:basedOn w:val="a1"/>
    <w:uiPriority w:val="59"/>
    <w:rsid w:val="00DD222D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D222D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D222D"/>
    <w:rPr>
      <w:rFonts w:ascii="Tahoma" w:eastAsia="Times New Roman" w:hAnsi="Tahoma"/>
      <w:sz w:val="16"/>
      <w:szCs w:val="16"/>
      <w:lang w:eastAsia="ru-RU"/>
    </w:rPr>
  </w:style>
  <w:style w:type="paragraph" w:customStyle="1" w:styleId="headertext">
    <w:name w:val="headertext"/>
    <w:uiPriority w:val="99"/>
    <w:rsid w:val="00DD222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a8">
    <w:name w:val="header"/>
    <w:basedOn w:val="a"/>
    <w:link w:val="a9"/>
    <w:rsid w:val="00DD222D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0"/>
    </w:rPr>
  </w:style>
  <w:style w:type="character" w:customStyle="1" w:styleId="a9">
    <w:name w:val="Верхний колонтитул Знак"/>
    <w:basedOn w:val="a0"/>
    <w:link w:val="a8"/>
    <w:rsid w:val="00DD222D"/>
    <w:rPr>
      <w:rFonts w:eastAsia="Times New Roman"/>
      <w:sz w:val="22"/>
      <w:szCs w:val="20"/>
    </w:rPr>
  </w:style>
  <w:style w:type="paragraph" w:styleId="aa">
    <w:name w:val="footer"/>
    <w:basedOn w:val="a"/>
    <w:link w:val="ab"/>
    <w:uiPriority w:val="99"/>
    <w:rsid w:val="00DD222D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D222D"/>
    <w:rPr>
      <w:rFonts w:eastAsia="Times New Roman"/>
      <w:sz w:val="22"/>
      <w:szCs w:val="20"/>
    </w:rPr>
  </w:style>
  <w:style w:type="paragraph" w:styleId="ac">
    <w:name w:val="Body Text Indent"/>
    <w:basedOn w:val="a"/>
    <w:link w:val="ad"/>
    <w:rsid w:val="00DD222D"/>
    <w:pPr>
      <w:ind w:firstLine="720"/>
    </w:pPr>
    <w:rPr>
      <w:rFonts w:eastAsia="Times New Roman"/>
      <w:b/>
      <w:bCs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D222D"/>
    <w:rPr>
      <w:rFonts w:eastAsia="Times New Roman"/>
      <w:b/>
      <w:bCs/>
      <w:sz w:val="28"/>
      <w:szCs w:val="20"/>
    </w:rPr>
  </w:style>
  <w:style w:type="paragraph" w:styleId="ae">
    <w:name w:val="No Spacing"/>
    <w:basedOn w:val="a"/>
    <w:link w:val="af"/>
    <w:uiPriority w:val="1"/>
    <w:qFormat/>
    <w:rsid w:val="00DD222D"/>
    <w:pPr>
      <w:jc w:val="left"/>
    </w:pPr>
    <w:rPr>
      <w:rFonts w:ascii="Calibri" w:eastAsia="Times New Roman" w:hAnsi="Calibri"/>
      <w:szCs w:val="32"/>
      <w:lang w:val="en-US" w:bidi="en-US"/>
    </w:rPr>
  </w:style>
  <w:style w:type="paragraph" w:styleId="af0">
    <w:name w:val="Plain Text"/>
    <w:basedOn w:val="a"/>
    <w:link w:val="af1"/>
    <w:uiPriority w:val="99"/>
    <w:rsid w:val="00DD222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D222D"/>
    <w:rPr>
      <w:rFonts w:ascii="Courier New" w:eastAsia="Times New Roman" w:hAnsi="Courier New"/>
      <w:sz w:val="20"/>
      <w:szCs w:val="20"/>
    </w:rPr>
  </w:style>
  <w:style w:type="paragraph" w:styleId="af2">
    <w:name w:val="Body Text"/>
    <w:basedOn w:val="a"/>
    <w:link w:val="af3"/>
    <w:rsid w:val="00DD222D"/>
    <w:pPr>
      <w:spacing w:after="120"/>
      <w:jc w:val="left"/>
    </w:pPr>
    <w:rPr>
      <w:rFonts w:eastAsia="Times New Roman"/>
      <w:sz w:val="22"/>
      <w:szCs w:val="20"/>
    </w:rPr>
  </w:style>
  <w:style w:type="character" w:customStyle="1" w:styleId="af3">
    <w:name w:val="Основной текст Знак"/>
    <w:basedOn w:val="a0"/>
    <w:link w:val="af2"/>
    <w:rsid w:val="00DD222D"/>
    <w:rPr>
      <w:rFonts w:eastAsia="Times New Roman"/>
      <w:sz w:val="22"/>
      <w:szCs w:val="20"/>
    </w:rPr>
  </w:style>
  <w:style w:type="paragraph" w:styleId="21">
    <w:name w:val="Body Text 2"/>
    <w:basedOn w:val="a"/>
    <w:link w:val="22"/>
    <w:rsid w:val="00DD222D"/>
    <w:pPr>
      <w:spacing w:after="120" w:line="480" w:lineRule="auto"/>
      <w:jc w:val="left"/>
    </w:pPr>
    <w:rPr>
      <w:rFonts w:eastAsia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D222D"/>
    <w:rPr>
      <w:rFonts w:eastAsia="Times New Roman"/>
      <w:sz w:val="22"/>
      <w:szCs w:val="20"/>
    </w:rPr>
  </w:style>
  <w:style w:type="paragraph" w:customStyle="1" w:styleId="210">
    <w:name w:val="Основной текст 21"/>
    <w:basedOn w:val="a"/>
    <w:rsid w:val="00DD222D"/>
    <w:pPr>
      <w:ind w:firstLine="72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styleId="af4">
    <w:name w:val="List Paragraph"/>
    <w:basedOn w:val="a"/>
    <w:uiPriority w:val="34"/>
    <w:qFormat/>
    <w:rsid w:val="00DD222D"/>
    <w:pPr>
      <w:ind w:left="720"/>
      <w:contextualSpacing/>
      <w:jc w:val="left"/>
    </w:pPr>
    <w:rPr>
      <w:rFonts w:eastAsia="Times New Roman"/>
      <w:sz w:val="22"/>
      <w:szCs w:val="20"/>
      <w:lang w:eastAsia="ru-RU"/>
    </w:rPr>
  </w:style>
  <w:style w:type="paragraph" w:styleId="af5">
    <w:name w:val="Body Text First Indent"/>
    <w:basedOn w:val="af2"/>
    <w:link w:val="af6"/>
    <w:rsid w:val="00DD222D"/>
    <w:pPr>
      <w:spacing w:after="0"/>
      <w:ind w:firstLine="360"/>
    </w:pPr>
  </w:style>
  <w:style w:type="character" w:customStyle="1" w:styleId="af6">
    <w:name w:val="Красная строка Знак"/>
    <w:basedOn w:val="af3"/>
    <w:link w:val="af5"/>
    <w:rsid w:val="00DD222D"/>
  </w:style>
  <w:style w:type="paragraph" w:customStyle="1" w:styleId="12">
    <w:name w:val="Без интервала1"/>
    <w:rsid w:val="00DD222D"/>
    <w:pPr>
      <w:jc w:val="left"/>
    </w:pPr>
    <w:rPr>
      <w:rFonts w:eastAsia="Calibri"/>
      <w:sz w:val="20"/>
      <w:szCs w:val="20"/>
      <w:lang w:eastAsia="ru-RU"/>
    </w:rPr>
  </w:style>
  <w:style w:type="paragraph" w:customStyle="1" w:styleId="13">
    <w:name w:val="Абзац списка1"/>
    <w:basedOn w:val="a"/>
    <w:rsid w:val="00DD222D"/>
    <w:pPr>
      <w:ind w:left="720"/>
      <w:contextualSpacing/>
      <w:jc w:val="left"/>
    </w:pPr>
    <w:rPr>
      <w:rFonts w:eastAsia="Century Schoolbook"/>
      <w:sz w:val="20"/>
      <w:szCs w:val="20"/>
      <w:lang w:eastAsia="ru-RU"/>
    </w:rPr>
  </w:style>
  <w:style w:type="paragraph" w:styleId="23">
    <w:name w:val="Body Text Indent 2"/>
    <w:basedOn w:val="a"/>
    <w:link w:val="24"/>
    <w:rsid w:val="00DD222D"/>
    <w:pPr>
      <w:spacing w:after="120" w:line="480" w:lineRule="auto"/>
      <w:ind w:left="283"/>
      <w:jc w:val="left"/>
    </w:pPr>
    <w:rPr>
      <w:rFonts w:eastAsia="Times New Roman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DD222D"/>
    <w:rPr>
      <w:rFonts w:eastAsia="Times New Roman"/>
      <w:sz w:val="22"/>
      <w:szCs w:val="20"/>
    </w:rPr>
  </w:style>
  <w:style w:type="paragraph" w:customStyle="1" w:styleId="220">
    <w:name w:val="Основной текст с отступом 22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styleId="af7">
    <w:name w:val="Emphasis"/>
    <w:qFormat/>
    <w:rsid w:val="00DD222D"/>
    <w:rPr>
      <w:i/>
      <w:iCs/>
    </w:rPr>
  </w:style>
  <w:style w:type="paragraph" w:customStyle="1" w:styleId="xl26">
    <w:name w:val="xl26"/>
    <w:basedOn w:val="a"/>
    <w:rsid w:val="00DD22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30">
    <w:name w:val="Основной текст с отступом 23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character" w:customStyle="1" w:styleId="af8">
    <w:name w:val="Основной текст_"/>
    <w:link w:val="14"/>
    <w:rsid w:val="00DD222D"/>
    <w:rPr>
      <w:rFonts w:eastAsia="Times New Roman"/>
      <w:sz w:val="22"/>
      <w:szCs w:val="22"/>
      <w:shd w:val="clear" w:color="auto" w:fill="FFFFFF"/>
    </w:rPr>
  </w:style>
  <w:style w:type="character" w:customStyle="1" w:styleId="Tahoma10pt">
    <w:name w:val="Основной текст + Tahoma;10 pt;Курсив"/>
    <w:rsid w:val="00DD222D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DD222D"/>
    <w:rPr>
      <w:rFonts w:eastAsia="Times New Roman"/>
      <w:spacing w:val="1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8"/>
    <w:rsid w:val="00DD222D"/>
    <w:pPr>
      <w:widowControl w:val="0"/>
      <w:shd w:val="clear" w:color="auto" w:fill="FFFFFF"/>
      <w:spacing w:before="240" w:line="414" w:lineRule="exact"/>
      <w:jc w:val="left"/>
    </w:pPr>
    <w:rPr>
      <w:rFonts w:eastAsia="Times New Roman"/>
      <w:sz w:val="22"/>
      <w:szCs w:val="22"/>
    </w:rPr>
  </w:style>
  <w:style w:type="paragraph" w:customStyle="1" w:styleId="26">
    <w:name w:val="Основной текст (2)"/>
    <w:basedOn w:val="a"/>
    <w:link w:val="25"/>
    <w:rsid w:val="00DD222D"/>
    <w:pPr>
      <w:widowControl w:val="0"/>
      <w:shd w:val="clear" w:color="auto" w:fill="FFFFFF"/>
      <w:spacing w:before="420" w:line="230" w:lineRule="exact"/>
      <w:jc w:val="left"/>
    </w:pPr>
    <w:rPr>
      <w:rFonts w:eastAsia="Times New Roman"/>
      <w:spacing w:val="1"/>
      <w:sz w:val="19"/>
      <w:szCs w:val="19"/>
    </w:rPr>
  </w:style>
  <w:style w:type="character" w:customStyle="1" w:styleId="af">
    <w:name w:val="Без интервала Знак"/>
    <w:basedOn w:val="a0"/>
    <w:link w:val="ae"/>
    <w:uiPriority w:val="1"/>
    <w:rsid w:val="00DD222D"/>
    <w:rPr>
      <w:rFonts w:ascii="Calibri" w:eastAsia="Times New Roman" w:hAnsi="Calibri"/>
      <w:szCs w:val="32"/>
      <w:lang w:val="en-US" w:bidi="en-US"/>
    </w:rPr>
  </w:style>
  <w:style w:type="paragraph" w:customStyle="1" w:styleId="240">
    <w:name w:val="Основной текст с отступом 24"/>
    <w:basedOn w:val="a"/>
    <w:rsid w:val="00DD222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Cs w:val="20"/>
      <w:lang w:eastAsia="ru-RU"/>
    </w:rPr>
  </w:style>
  <w:style w:type="paragraph" w:customStyle="1" w:styleId="font5">
    <w:name w:val="font5"/>
    <w:basedOn w:val="a"/>
    <w:rsid w:val="007E6690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E669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4">
    <w:name w:val="xl6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E6690"/>
    <w:pPr>
      <w:pBdr>
        <w:top w:val="single" w:sz="4" w:space="0" w:color="000000"/>
        <w:left w:val="single" w:sz="4" w:space="12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8">
    <w:name w:val="xl78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E66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E66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E66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E669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E669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E669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ind w:firstLineChars="300" w:firstLine="30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E66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E669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E6690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E669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Основной текст2"/>
    <w:basedOn w:val="a"/>
    <w:rsid w:val="005B2B2D"/>
    <w:pPr>
      <w:widowControl w:val="0"/>
      <w:shd w:val="clear" w:color="auto" w:fill="FFFFFF"/>
      <w:spacing w:before="300" w:after="2340" w:line="226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5">
    <w:name w:val="Таб1"/>
    <w:basedOn w:val="a"/>
    <w:link w:val="1Char"/>
    <w:qFormat/>
    <w:rsid w:val="005B2B2D"/>
    <w:rPr>
      <w:rFonts w:eastAsia="Times New Roman"/>
      <w:sz w:val="28"/>
    </w:rPr>
  </w:style>
  <w:style w:type="character" w:customStyle="1" w:styleId="1Char">
    <w:name w:val="Таб1 Char"/>
    <w:link w:val="15"/>
    <w:rsid w:val="005B2B2D"/>
    <w:rPr>
      <w:rFonts w:eastAsia="Times New Roman"/>
      <w:sz w:val="28"/>
    </w:rPr>
  </w:style>
  <w:style w:type="paragraph" w:customStyle="1" w:styleId="normal">
    <w:name w:val="normal"/>
    <w:rsid w:val="005B2B2D"/>
    <w:pPr>
      <w:spacing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11869</Words>
  <Characters>67658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cp:lastPrinted>2022-04-28T05:50:00Z</cp:lastPrinted>
  <dcterms:created xsi:type="dcterms:W3CDTF">2022-04-28T06:37:00Z</dcterms:created>
  <dcterms:modified xsi:type="dcterms:W3CDTF">2022-04-28T08:04:00Z</dcterms:modified>
</cp:coreProperties>
</file>