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7" w:rsidRDefault="009A1F97" w:rsidP="007417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741760" w:rsidRPr="00741760">
        <w:rPr>
          <w:rFonts w:ascii="Times New Roman" w:hAnsi="Times New Roman" w:cs="Times New Roman"/>
          <w:sz w:val="28"/>
          <w:szCs w:val="28"/>
        </w:rPr>
        <w:t>К</w:t>
      </w:r>
      <w:r w:rsidR="00741760" w:rsidRPr="0074176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41760" w:rsidRPr="00741760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</w:p>
    <w:p w:rsidR="00741760" w:rsidRDefault="00741760" w:rsidP="007417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760">
        <w:rPr>
          <w:rFonts w:ascii="Times New Roman" w:hAnsi="Times New Roman" w:cs="Times New Roman"/>
          <w:bCs/>
          <w:sz w:val="28"/>
          <w:szCs w:val="28"/>
        </w:rPr>
        <w:t>по представлению бюджета для граждан в 2021 году</w:t>
      </w:r>
    </w:p>
    <w:p w:rsidR="00741760" w:rsidRPr="00741760" w:rsidRDefault="00741760" w:rsidP="00741760">
      <w:pPr>
        <w:spacing w:after="0"/>
        <w:jc w:val="center"/>
        <w:rPr>
          <w:rFonts w:ascii="Times New Roman" w:hAnsi="Times New Roman" w:cs="Times New Roman"/>
        </w:rPr>
      </w:pP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741760" w:rsidRPr="00065F9E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«Юридические лица» отдельно в каждой номинации. Физическое или юридическое лицо представляет заявку для участия не более,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​«Лучшее event-мероприятие по проекту «Бюджет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741760" w:rsidRPr="00065F9E" w:rsidRDefault="00741760" w:rsidP="00741760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741760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номинации(-ям)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220A12" w:rsidRDefault="00741760" w:rsidP="00741760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065F9E" w:rsidRDefault="00741760" w:rsidP="0074176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741760" w:rsidRDefault="00741760" w:rsidP="00741760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cdcd9c-8439-451d-95b9-89f03f3077b4"/>
  </w:docVars>
  <w:rsids>
    <w:rsidRoot w:val="00741760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41760"/>
    <w:rsid w:val="008A6BF4"/>
    <w:rsid w:val="008C5CAC"/>
    <w:rsid w:val="00942EF1"/>
    <w:rsid w:val="009A1F97"/>
    <w:rsid w:val="00B11D5B"/>
    <w:rsid w:val="00D51400"/>
    <w:rsid w:val="00D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  </cp:lastModifiedBy>
  <cp:revision>2</cp:revision>
  <dcterms:created xsi:type="dcterms:W3CDTF">2021-04-08T09:35:00Z</dcterms:created>
  <dcterms:modified xsi:type="dcterms:W3CDTF">2021-04-08T09:35:00Z</dcterms:modified>
</cp:coreProperties>
</file>