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32"/>
        <w:gridCol w:w="4932"/>
      </w:tblGrid>
      <w:tr w:rsidR="007B2A6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B2A61" w:rsidRDefault="007B2A61">
            <w:pPr>
              <w:pStyle w:val="ConsPlusNormal"/>
            </w:pPr>
            <w:r>
              <w:t>6 апреля 2020 года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B2A61" w:rsidRDefault="007B2A61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7B2A61" w:rsidRDefault="007B2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A61" w:rsidRDefault="007B2A61">
      <w:pPr>
        <w:pStyle w:val="ConsPlusNormal"/>
        <w:jc w:val="both"/>
      </w:pPr>
    </w:p>
    <w:p w:rsidR="007B2A61" w:rsidRDefault="007B2A61">
      <w:pPr>
        <w:pStyle w:val="ConsPlusTitle"/>
        <w:jc w:val="center"/>
      </w:pPr>
      <w:r>
        <w:t>ЛЕНИНГРАДСКАЯ ОБЛАСТЬ</w:t>
      </w:r>
    </w:p>
    <w:p w:rsidR="007B2A61" w:rsidRDefault="007B2A61">
      <w:pPr>
        <w:pStyle w:val="ConsPlusTitle"/>
        <w:jc w:val="center"/>
      </w:pPr>
    </w:p>
    <w:p w:rsidR="007B2A61" w:rsidRDefault="007B2A61">
      <w:pPr>
        <w:pStyle w:val="ConsPlusTitle"/>
        <w:jc w:val="center"/>
      </w:pPr>
      <w:r>
        <w:t>ОБЛАСТНОЙ ЗАКОН</w:t>
      </w:r>
    </w:p>
    <w:p w:rsidR="007B2A61" w:rsidRDefault="007B2A61">
      <w:pPr>
        <w:pStyle w:val="ConsPlusTitle"/>
        <w:jc w:val="center"/>
      </w:pPr>
    </w:p>
    <w:p w:rsidR="007B2A61" w:rsidRDefault="007B2A61">
      <w:pPr>
        <w:pStyle w:val="ConsPlusTitle"/>
        <w:jc w:val="center"/>
      </w:pPr>
      <w:r>
        <w:t>О ПРИМЕНЕНИИ НА ТЕРРИТОРИИ ЛЕНИНГРАДСКОЙ ОБЛАСТИ</w:t>
      </w:r>
    </w:p>
    <w:p w:rsidR="007B2A61" w:rsidRDefault="007B2A61">
      <w:pPr>
        <w:pStyle w:val="ConsPlusTitle"/>
        <w:jc w:val="center"/>
      </w:pPr>
      <w:r>
        <w:t>ИНВЕСТИЦИОННОГО НАЛОГОВОГО ВЫЧЕТА ПО НАЛОГУ</w:t>
      </w:r>
    </w:p>
    <w:p w:rsidR="007B2A61" w:rsidRDefault="007B2A61">
      <w:pPr>
        <w:pStyle w:val="ConsPlusTitle"/>
        <w:jc w:val="center"/>
      </w:pPr>
      <w:r>
        <w:t>НА ПРИБЫЛЬ ОРГАНИЗАЦИЙ</w:t>
      </w:r>
    </w:p>
    <w:p w:rsidR="007B2A61" w:rsidRDefault="007B2A61">
      <w:pPr>
        <w:pStyle w:val="ConsPlusNormal"/>
        <w:jc w:val="center"/>
      </w:pPr>
    </w:p>
    <w:p w:rsidR="007B2A61" w:rsidRDefault="007B2A6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7B2A61" w:rsidRDefault="007B2A61">
      <w:pPr>
        <w:pStyle w:val="ConsPlusNormal"/>
        <w:jc w:val="center"/>
      </w:pPr>
      <w:r>
        <w:t>25 марта 2020 года</w:t>
      </w:r>
    </w:p>
    <w:p w:rsidR="007B2A61" w:rsidRDefault="007B2A61">
      <w:pPr>
        <w:pStyle w:val="ConsPlusNormal"/>
        <w:jc w:val="center"/>
      </w:pPr>
    </w:p>
    <w:p w:rsidR="007B2A61" w:rsidRDefault="007B2A61">
      <w:pPr>
        <w:pStyle w:val="ConsPlusTitle"/>
        <w:ind w:firstLine="540"/>
        <w:jc w:val="both"/>
        <w:outlineLvl w:val="0"/>
      </w:pPr>
      <w:r>
        <w:t>Статья 1. Предмет регулирования и цель настоящего областного закона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Normal"/>
        <w:ind w:firstLine="540"/>
        <w:jc w:val="both"/>
      </w:pPr>
      <w:r>
        <w:t xml:space="preserve">1. Настоящим областным законом в соответствии со </w:t>
      </w:r>
      <w:hyperlink r:id="rId4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устанавливается право на применение на территории Ленинградской области инвестиционного налогового вычета по налогу на прибыль организаций (далее - инвестиционный налоговый вычет).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2. Целью настоящего областного закона является стимулирование организаций к развитию </w:t>
      </w:r>
      <w:proofErr w:type="gramStart"/>
      <w:r>
        <w:t>и(</w:t>
      </w:r>
      <w:proofErr w:type="gramEnd"/>
      <w:r>
        <w:t>или) модернизации производства на территории Ленинградской области посредством обновления ими основных фондов.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Title"/>
        <w:ind w:firstLine="540"/>
        <w:jc w:val="both"/>
        <w:outlineLvl w:val="0"/>
      </w:pPr>
      <w:r>
        <w:t>Статья 2. Право на применение инвестиционного налогового вычета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 на применение инвестиционного налогового вычета в отношении расходов налогоплательщика, указанных в </w:t>
      </w:r>
      <w:hyperlink r:id="rId5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6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Ленинградской области, предоставляется налогоплательщикам, категории которых установлены </w:t>
      </w:r>
      <w:hyperlink w:anchor="P27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  <w:proofErr w:type="gramEnd"/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Инвестиционный налоговый вычет в виде расходов налогоплательщика,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8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применяется к объектам основных средств, относящимся к подразделу "Машины и оборудование" </w:t>
      </w:r>
      <w:hyperlink r:id="rId9" w:history="1">
        <w:r>
          <w:rPr>
            <w:color w:val="0000FF"/>
          </w:rPr>
          <w:t>третьей</w:t>
        </w:r>
      </w:hyperlink>
      <w:r>
        <w:t xml:space="preserve"> - </w:t>
      </w:r>
      <w:hyperlink r:id="rId10" w:history="1">
        <w:r>
          <w:rPr>
            <w:color w:val="0000FF"/>
          </w:rPr>
          <w:t>десятой</w:t>
        </w:r>
      </w:hyperlink>
      <w:r>
        <w:t xml:space="preserve"> амортизационных групп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объектов основных средств</w:t>
      </w:r>
      <w:proofErr w:type="gramEnd"/>
      <w:r>
        <w:t xml:space="preserve">, приобретенных за счет субсидий </w:t>
      </w:r>
      <w:proofErr w:type="gramStart"/>
      <w:r>
        <w:t>и(</w:t>
      </w:r>
      <w:proofErr w:type="gramEnd"/>
      <w:r>
        <w:t>или) бюджетных инвестиций, предоставленных из областного бюджета Ленинградской области.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3. Право на применение инвестиционного налогового вычета реализуется налогоплательщиками с учетом положений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4. Налогоплательщик вправе изменить ранее принятое решение об использовании (отказе от использования) права на применение инвестиционного налогового вычета по истечении любого налогового периода.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Title"/>
        <w:ind w:firstLine="540"/>
        <w:jc w:val="both"/>
        <w:outlineLvl w:val="0"/>
      </w:pPr>
      <w:bookmarkStart w:id="0" w:name="P27"/>
      <w:bookmarkEnd w:id="0"/>
      <w:r>
        <w:t>Статья 3. Категории налогоплательщиков, которым предоставляется право на применение инвестиционного налогового вычета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Normal"/>
        <w:ind w:firstLine="540"/>
        <w:jc w:val="both"/>
      </w:pPr>
      <w:bookmarkStart w:id="1" w:name="P29"/>
      <w:bookmarkEnd w:id="1"/>
      <w:r>
        <w:t xml:space="preserve">1. Право на применение инвестиционного налогового вычета предоставляется </w:t>
      </w:r>
      <w:r>
        <w:lastRenderedPageBreak/>
        <w:t>организациям, осуществляющим следующие виды экономической деятельности в соответствии с Общероссийским классификатором видов экономической деятельности: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1) 11.07 "Производство безалкогольных напитков; производство минеральных вод и прочих питьевых вод в бутылках";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2) 13 "Производство текстильных изделий";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3) 14 "Производство одежды";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4) 15 "Производство кожи и изделий из кожи";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5) 27 "Производство электрического оборудования";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6) 28 "Производство машин и оборудования, не включенных в другие группировки";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7) 29.1 "Производство автотранспортных средств";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8) 32 "Производство прочих готовых изделий";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9) 38 "Сбор, обработка и утилизация отходов; обработка вторичного сырья" (за исключением видов экономической деятельности, предусмотренных кодами 38.1 "Сбор отходов", 38.11 "Сбор неопасных отходов", 38.12 "Сбор опасных отходов");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10) 63 "Деятельность в области информационных технологий".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2. Право на применение инвестиционного налогового вычета предоставляется указанным в </w:t>
      </w:r>
      <w:hyperlink w:anchor="P29" w:history="1">
        <w:r>
          <w:rPr>
            <w:color w:val="0000FF"/>
          </w:rPr>
          <w:t>части 1</w:t>
        </w:r>
      </w:hyperlink>
      <w:r>
        <w:t xml:space="preserve"> настоящей статьи организациям при условии, если они отвечают одновременно следующим требованиям: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1) государственная регистрация осуществлена на территории Ленинградской области;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2) деятельность осуществляется на территории Ленинградской области;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3) не менее 70 процентов дохода составляет доход от осуществления одного или нескольких видов деятельности, указанных в </w:t>
      </w:r>
      <w:hyperlink w:anchor="P29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3. Право на применение инвестиционного налогового вычета предоставляется организациям, осуществляющим виды экономической деятельности, относящиеся в соответствии с Общероссийским классификатором видов экономической деятельности к разделу С "Обрабатывающие производства", являющимся: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1) организациями - участниками национального проекта "Производительность труда и поддержка занятости", заключившими соглашения о вхождении в региональный проект "Адресная поддержка повышения производительности труда на предприятиях" с органом исполнительной власти Ленинградской области, реализующим указанный региональный проект;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2) организациями, осуществляющими деятельность исключительно на территориях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 или </w:t>
      </w:r>
      <w:proofErr w:type="spellStart"/>
      <w:r>
        <w:t>Подпорожского</w:t>
      </w:r>
      <w:proofErr w:type="spellEnd"/>
      <w:r>
        <w:t xml:space="preserve"> муниципальных районов Ленинградской области, на которых осуществлена их государственная регистрация;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3) организациями, осуществляющими деятельность исключительно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Ленинградской области (моногородов), на которых осуществлена их государственная регистрация (за исключением организаций, </w:t>
      </w:r>
      <w:r>
        <w:lastRenderedPageBreak/>
        <w:t xml:space="preserve">указанных в </w:t>
      </w:r>
      <w:hyperlink r:id="rId12" w:history="1">
        <w:r>
          <w:rPr>
            <w:color w:val="0000FF"/>
          </w:rPr>
          <w:t>подпункте 6 пункта 11 статьи 286.1</w:t>
        </w:r>
      </w:hyperlink>
      <w:r>
        <w:t xml:space="preserve"> Налогового кодекса Российской Федерации).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Title"/>
        <w:ind w:firstLine="540"/>
        <w:jc w:val="both"/>
        <w:outlineLvl w:val="0"/>
      </w:pPr>
      <w:r>
        <w:t>Статья 4. Категории налогоплательщиков, которым не предоставляется право на применение инвестиционного налогового вычета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Normal"/>
        <w:ind w:firstLine="540"/>
        <w:jc w:val="both"/>
      </w:pPr>
      <w:r>
        <w:t>Право на применение инвестиционного налогового вычета в соответствии с настоящим областным законом не предоставляется следующим категориям налогоплательщиков: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1) организациям, признанным в соответствии с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ответственными участниками консолидированных групп налогоплательщиков;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2) организациям, находящимся в процессе ликвидации </w:t>
      </w:r>
      <w:proofErr w:type="gramStart"/>
      <w:r>
        <w:t>и(</w:t>
      </w:r>
      <w:proofErr w:type="gramEnd"/>
      <w:r>
        <w:t>или) банкротства;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3) организациям, применяющим меры государственной поддержки инвестиционной деятельности в Ленинградской области, предусмотренные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22 июля 1997 года N 24-оз "О государственной поддержке инвестиционной деятельности в Ленинградской области";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4) организациям, применяющим режим государственной поддержки, предусмотренный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области";</w:t>
      </w:r>
    </w:p>
    <w:p w:rsidR="007B2A61" w:rsidRDefault="007B2A61">
      <w:pPr>
        <w:pStyle w:val="ConsPlusNormal"/>
        <w:spacing w:before="240"/>
        <w:ind w:firstLine="540"/>
        <w:jc w:val="both"/>
      </w:pPr>
      <w:proofErr w:type="gramStart"/>
      <w:r>
        <w:t xml:space="preserve">5) организациям, применяющим меры стимулирования деятельности в сфере промышленности, предусмотренные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декабря 2017 года N 93-оз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области";</w:t>
      </w:r>
      <w:proofErr w:type="gramEnd"/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6) организациям, применяющим ставку налога на прибыль организаций, предусмотренную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февраля 2012 года N 1-оз "О ставке налога на прибыль организаций для организаций, состоящих на учете в налоговых органах на территории </w:t>
      </w:r>
      <w:proofErr w:type="spellStart"/>
      <w:r>
        <w:t>Лодейнопольского</w:t>
      </w:r>
      <w:proofErr w:type="spellEnd"/>
      <w:r>
        <w:t xml:space="preserve"> и </w:t>
      </w:r>
      <w:proofErr w:type="spellStart"/>
      <w:r>
        <w:t>Подпорожского</w:t>
      </w:r>
      <w:proofErr w:type="spellEnd"/>
      <w:r>
        <w:t xml:space="preserve"> муниципальных районов";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7) организациям, осуществляющим деятельность по развитию индустриальных (промышленных) парков в соответствии с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 июля 2014 года N 52-оз "О создании и развитии индустриальных (промышленных) парков в Ленинградской области".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Title"/>
        <w:ind w:firstLine="540"/>
        <w:jc w:val="both"/>
        <w:outlineLvl w:val="0"/>
      </w:pPr>
      <w:r>
        <w:t>Статья 5. Размер инвестиционного налогового вычета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Normal"/>
        <w:ind w:firstLine="540"/>
        <w:jc w:val="both"/>
      </w:pPr>
      <w:bookmarkStart w:id="2" w:name="P62"/>
      <w:bookmarkEnd w:id="2"/>
      <w:r>
        <w:t xml:space="preserve">1. Размер инвестиционного налогового вычета текущего налогового (отчетного) периода составляет 50 процентов суммы расходов налогоплательщика, указанных в </w:t>
      </w:r>
      <w:hyperlink r:id="rId19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20" w:history="1">
        <w:r>
          <w:rPr>
            <w:color w:val="0000FF"/>
          </w:rPr>
          <w:t>2 пункта 2 статьи 286.1</w:t>
        </w:r>
      </w:hyperlink>
      <w:r>
        <w:t xml:space="preserve"> Налогового кодекса Российской Федерации, но не </w:t>
      </w:r>
      <w:proofErr w:type="gramStart"/>
      <w:r>
        <w:t>более предельной</w:t>
      </w:r>
      <w:proofErr w:type="gramEnd"/>
      <w:r>
        <w:t xml:space="preserve"> величины инвестиционного налогового вычета, определяемой в соответствии с </w:t>
      </w:r>
      <w:hyperlink r:id="rId21" w:history="1">
        <w:r>
          <w:rPr>
            <w:color w:val="0000FF"/>
          </w:rPr>
          <w:t>пунктом 2.1 статьи 286.1</w:t>
        </w:r>
      </w:hyperlink>
      <w:r>
        <w:t xml:space="preserve"> Налогового кодекса Российской Федерации.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>2. Размер налоговой ставки по налогу на прибыль организаций, подлежащему зачислению в областной бюджет Ленинградской области, для определения предельной величины инвестиционного налогового вычета составляет 10 процентов.</w:t>
      </w:r>
    </w:p>
    <w:p w:rsidR="007B2A61" w:rsidRDefault="007B2A61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Сумма расходов налогоплательщика, указанных в </w:t>
      </w:r>
      <w:hyperlink w:anchor="P62" w:history="1">
        <w:r>
          <w:rPr>
            <w:color w:val="0000FF"/>
          </w:rPr>
          <w:t>части 1</w:t>
        </w:r>
      </w:hyperlink>
      <w:r>
        <w:t xml:space="preserve"> настоящей статьи, превышающая в налоговом (отчетном) периоде предельную величину инвестиционного налогового вычета, может быть учтена при определении инвестиционного налогового вычета в последующих четырех налоговых (отчетных) периодах, считая с налогового периода, следующего за налоговым периодом, в котором сумма таких расходов превысила предельную </w:t>
      </w:r>
      <w:r>
        <w:lastRenderedPageBreak/>
        <w:t>величину инвестиционного налогового вычета.</w:t>
      </w:r>
      <w:proofErr w:type="gramEnd"/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Title"/>
        <w:ind w:firstLine="540"/>
        <w:jc w:val="both"/>
        <w:outlineLvl w:val="0"/>
      </w:pPr>
      <w:r>
        <w:t>Статья 6. Вступление в силу настоящего областного закона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опубликования, распространяется на правоотношения, возникшие с 1 января 2020 года, и действует по 31 декабря 2027 года включительно.</w:t>
      </w:r>
    </w:p>
    <w:p w:rsidR="007B2A61" w:rsidRDefault="007B2A61">
      <w:pPr>
        <w:pStyle w:val="ConsPlusNormal"/>
        <w:ind w:firstLine="540"/>
        <w:jc w:val="both"/>
      </w:pPr>
    </w:p>
    <w:p w:rsidR="007B2A61" w:rsidRDefault="007B2A61">
      <w:pPr>
        <w:pStyle w:val="ConsPlusNormal"/>
        <w:jc w:val="right"/>
      </w:pPr>
      <w:r>
        <w:t>Губернатор</w:t>
      </w:r>
    </w:p>
    <w:p w:rsidR="007B2A61" w:rsidRDefault="007B2A61">
      <w:pPr>
        <w:pStyle w:val="ConsPlusNormal"/>
        <w:jc w:val="right"/>
      </w:pPr>
      <w:r>
        <w:t>Ленинградской области</w:t>
      </w:r>
    </w:p>
    <w:p w:rsidR="007B2A61" w:rsidRDefault="007B2A61">
      <w:pPr>
        <w:pStyle w:val="ConsPlusNormal"/>
        <w:jc w:val="right"/>
      </w:pPr>
      <w:r>
        <w:t>А.Дрозденко</w:t>
      </w:r>
    </w:p>
    <w:p w:rsidR="007B2A61" w:rsidRDefault="007B2A61">
      <w:pPr>
        <w:pStyle w:val="ConsPlusNormal"/>
      </w:pPr>
      <w:r>
        <w:t>Санкт-Петербург</w:t>
      </w:r>
    </w:p>
    <w:p w:rsidR="007B2A61" w:rsidRDefault="007B2A61">
      <w:pPr>
        <w:pStyle w:val="ConsPlusNormal"/>
        <w:spacing w:before="240"/>
      </w:pPr>
      <w:r>
        <w:t>6 апреля 2020 года</w:t>
      </w:r>
    </w:p>
    <w:p w:rsidR="007B2A61" w:rsidRDefault="007B2A61">
      <w:pPr>
        <w:pStyle w:val="ConsPlusNormal"/>
        <w:spacing w:before="240"/>
      </w:pPr>
      <w:r>
        <w:t>N 36-оз</w:t>
      </w:r>
    </w:p>
    <w:p w:rsidR="00F24E46" w:rsidRDefault="00F24E46"/>
    <w:sectPr w:rsidR="00F24E46" w:rsidSect="00DE1DF5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B2A61"/>
    <w:rsid w:val="000B107B"/>
    <w:rsid w:val="005A6F11"/>
    <w:rsid w:val="00602C20"/>
    <w:rsid w:val="00647C3C"/>
    <w:rsid w:val="007B2A61"/>
    <w:rsid w:val="0094705D"/>
    <w:rsid w:val="009D36A1"/>
    <w:rsid w:val="00A56390"/>
    <w:rsid w:val="00C93CD1"/>
    <w:rsid w:val="00D633A4"/>
    <w:rsid w:val="00F163D8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A6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B2A61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B2A6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15A238B7362B30450FAFEC2072E834E74EFE38C8A0577D6A3A8BB8641A1B99716305BBF98445AD85B119015FA69BD4DA40F4E1AAD8DBa4K" TargetMode="External"/><Relationship Id="rId13" Type="http://schemas.openxmlformats.org/officeDocument/2006/relationships/hyperlink" Target="consultantplus://offline/ref=1A1015A238B7362B30450FAFEC2072E834E14BFA3DC9A0577D6A3A8BB8641A1B8B713B09BDF6994DA3CFE25D56D5a2K" TargetMode="External"/><Relationship Id="rId18" Type="http://schemas.openxmlformats.org/officeDocument/2006/relationships/hyperlink" Target="consultantplus://offline/ref=1A1015A238B7362B304510BEF92072E836E54DFD3FCEA0577D6A3A8BB8641A1B8B713B09BDF6994DA3CFE25D56D5a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1015A238B7362B30450FAFEC2072E834E74EFE38C8A0577D6A3A8BB8641A1B99716305BBFE854CAD85B119015FA69BD4DA40F4E1AAD8DBa4K" TargetMode="External"/><Relationship Id="rId7" Type="http://schemas.openxmlformats.org/officeDocument/2006/relationships/hyperlink" Target="consultantplus://offline/ref=1A1015A238B7362B30450FAFEC2072E834E74EFE38C8A0577D6A3A8BB8641A1B99716305BBF9844AAD85B119015FA69BD4DA40F4E1AAD8DBa4K" TargetMode="External"/><Relationship Id="rId12" Type="http://schemas.openxmlformats.org/officeDocument/2006/relationships/hyperlink" Target="consultantplus://offline/ref=1A1015A238B7362B30450FAFEC2072E834E74EFE38C8A0577D6A3A8BB8641A1B99716305B9FF8648AD85B119015FA69BD4DA40F4E1AAD8DBa4K" TargetMode="External"/><Relationship Id="rId17" Type="http://schemas.openxmlformats.org/officeDocument/2006/relationships/hyperlink" Target="consultantplus://offline/ref=1A1015A238B7362B304510BEF92072E836E04FF432C1A0577D6A3A8BB8641A1B8B713B09BDF6994DA3CFE25D56D5a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1015A238B7362B304510BEF92072E836EB4BFA39C1A0577D6A3A8BB8641A1B8B713B09BDF6994DA3CFE25D56D5a2K" TargetMode="External"/><Relationship Id="rId20" Type="http://schemas.openxmlformats.org/officeDocument/2006/relationships/hyperlink" Target="consultantplus://offline/ref=1A1015A238B7362B30450FAFEC2072E834E74EFE38C8A0577D6A3A8BB8641A1B99716305BBF98445AD85B119015FA69BD4DA40F4E1AAD8DB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15A238B7362B30450FAFEC2072E834E74EFE38C8A0577D6A3A8BB8641A1B99716305BBF98445AD85B119015FA69BD4DA40F4E1AAD8DBa4K" TargetMode="External"/><Relationship Id="rId11" Type="http://schemas.openxmlformats.org/officeDocument/2006/relationships/hyperlink" Target="consultantplus://offline/ref=1A1015A238B7362B30450FAFEC2072E834E14BFA3DC9A0577D6A3A8BB8641A1B8B713B09BDF6994DA3CFE25D56D5a2K" TargetMode="External"/><Relationship Id="rId5" Type="http://schemas.openxmlformats.org/officeDocument/2006/relationships/hyperlink" Target="consultantplus://offline/ref=1A1015A238B7362B30450FAFEC2072E834E74EFE38C8A0577D6A3A8BB8641A1B99716305BBF9844AAD85B119015FA69BD4DA40F4E1AAD8DBa4K" TargetMode="External"/><Relationship Id="rId15" Type="http://schemas.openxmlformats.org/officeDocument/2006/relationships/hyperlink" Target="consultantplus://offline/ref=1A1015A238B7362B304510BEF92072E835E346F439CDA0577D6A3A8BB8641A1B8B713B09BDF6994DA3CFE25D56D5a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1015A238B7362B30450FAFEC2072E834E64DFF38C1A0577D6A3A8BB8641A1B99716305BCFF844AA3DAB40C1007AA92C2C445EFFDA8DAB6DCa1K" TargetMode="External"/><Relationship Id="rId19" Type="http://schemas.openxmlformats.org/officeDocument/2006/relationships/hyperlink" Target="consultantplus://offline/ref=1A1015A238B7362B30450FAFEC2072E834E74EFE38C8A0577D6A3A8BB8641A1B99716305BBF9844AAD85B119015FA69BD4DA40F4E1AAD8DBa4K" TargetMode="External"/><Relationship Id="rId4" Type="http://schemas.openxmlformats.org/officeDocument/2006/relationships/hyperlink" Target="consultantplus://offline/ref=1A1015A238B7362B30450FAFEC2072E834E74EFE38C8A0577D6A3A8BB8641A1B99716305BBF9844BAD85B119015FA69BD4DA40F4E1AAD8DBa4K" TargetMode="External"/><Relationship Id="rId9" Type="http://schemas.openxmlformats.org/officeDocument/2006/relationships/hyperlink" Target="consultantplus://offline/ref=1A1015A238B7362B30450FAFEC2072E834E64DFF38C1A0577D6A3A8BB8641A1B99716305BCFE864FA0DAB40C1007AA92C2C445EFFDA8DAB6DCa1K" TargetMode="External"/><Relationship Id="rId14" Type="http://schemas.openxmlformats.org/officeDocument/2006/relationships/hyperlink" Target="consultantplus://offline/ref=1A1015A238B7362B304510BEF92072E836E14EFC32CDA0577D6A3A8BB8641A1B8B713B09BDF6994DA3CFE25D56D5a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9607</Characters>
  <Application>Microsoft Office Word</Application>
  <DocSecurity>0</DocSecurity>
  <Lines>80</Lines>
  <Paragraphs>22</Paragraphs>
  <ScaleCrop>false</ScaleCrop>
  <Company>  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2020-05-18T10:26:00Z</dcterms:created>
  <dcterms:modified xsi:type="dcterms:W3CDTF">2020-05-18T10:27:00Z</dcterms:modified>
</cp:coreProperties>
</file>